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11282" w14:textId="0A28A0B7" w:rsidR="000E70C4" w:rsidRDefault="00CA5D93" w:rsidP="000E70C4">
      <w:pPr>
        <w:pStyle w:val="GvdeMetni"/>
        <w:spacing w:after="0" w:line="276" w:lineRule="auto"/>
        <w:jc w:val="center"/>
        <w:rPr>
          <w:rFonts w:ascii="Times New Roman" w:hAnsi="Times New Roman" w:cs="Times New Roman"/>
          <w:b/>
          <w:sz w:val="36"/>
        </w:rPr>
      </w:pPr>
      <w:r w:rsidRPr="00252717">
        <w:rPr>
          <w:rFonts w:ascii="Times New Roman" w:hAnsi="Times New Roman" w:cs="Times New Roman"/>
          <w:b/>
          <w:sz w:val="36"/>
        </w:rPr>
        <w:t xml:space="preserve">Economics of Income </w:t>
      </w:r>
      <w:r w:rsidR="00DD1F75">
        <w:rPr>
          <w:rFonts w:ascii="Times New Roman" w:hAnsi="Times New Roman" w:cs="Times New Roman"/>
          <w:b/>
          <w:sz w:val="36"/>
        </w:rPr>
        <w:t>Distribution</w:t>
      </w:r>
    </w:p>
    <w:p w14:paraId="0619A7B7" w14:textId="320FAF56" w:rsidR="00CA5D93" w:rsidRDefault="00CA5D93" w:rsidP="000E70C4">
      <w:pPr>
        <w:pStyle w:val="GvdeMetni"/>
        <w:spacing w:after="0" w:line="276" w:lineRule="auto"/>
        <w:jc w:val="center"/>
        <w:rPr>
          <w:rFonts w:ascii="Times New Roman" w:hAnsi="Times New Roman" w:cs="Times New Roman"/>
        </w:rPr>
      </w:pPr>
      <w:r w:rsidRPr="006809D5">
        <w:rPr>
          <w:rFonts w:ascii="Times New Roman" w:hAnsi="Times New Roman" w:cs="Times New Roman"/>
        </w:rPr>
        <w:t>Burak Ünveren</w:t>
      </w:r>
    </w:p>
    <w:p w14:paraId="0603DEBC" w14:textId="77777777" w:rsidR="004C75D8" w:rsidRDefault="004C75D8" w:rsidP="000E70C4">
      <w:pPr>
        <w:pStyle w:val="GvdeMetni"/>
        <w:spacing w:after="0" w:line="276" w:lineRule="auto"/>
        <w:jc w:val="center"/>
        <w:rPr>
          <w:rFonts w:ascii="Times New Roman" w:hAnsi="Times New Roman" w:cs="Times New Roman"/>
          <w:b/>
          <w:sz w:val="36"/>
        </w:rPr>
      </w:pPr>
    </w:p>
    <w:p w14:paraId="07271080" w14:textId="7E9A7192" w:rsidR="006809D5" w:rsidRPr="004C75D8" w:rsidRDefault="004C75D8" w:rsidP="004C75D8">
      <w:pPr>
        <w:pStyle w:val="GvdeMetni"/>
        <w:spacing w:after="0" w:line="276" w:lineRule="auto"/>
        <w:jc w:val="center"/>
        <w:rPr>
          <w:rFonts w:ascii="Times New Roman" w:hAnsi="Times New Roman" w:cs="Times New Roman"/>
          <w:b/>
        </w:rPr>
      </w:pPr>
      <w:r w:rsidRPr="004C75D8">
        <w:rPr>
          <w:rFonts w:ascii="Times New Roman" w:hAnsi="Times New Roman" w:cs="Times New Roman"/>
          <w:b/>
        </w:rPr>
        <w:t>Syllabus</w:t>
      </w:r>
    </w:p>
    <w:p w14:paraId="2143C364" w14:textId="4110F640" w:rsidR="00CA5D93" w:rsidRPr="00252717" w:rsidRDefault="0094423A" w:rsidP="006809D5">
      <w:pPr>
        <w:pStyle w:val="GvdeMetni"/>
        <w:spacing w:after="0" w:line="276" w:lineRule="auto"/>
        <w:rPr>
          <w:rFonts w:ascii="Times New Roman" w:hAnsi="Times New Roman" w:cs="Times New Roman"/>
        </w:rPr>
      </w:pPr>
      <w:r w:rsidRPr="0094423A">
        <w:rPr>
          <w:rFonts w:ascii="Times New Roman" w:hAnsi="Times New Roman" w:cs="Times New Roman"/>
          <w:b/>
        </w:rPr>
        <w:t>Course description:</w:t>
      </w:r>
      <w:r>
        <w:rPr>
          <w:rFonts w:ascii="Times New Roman" w:hAnsi="Times New Roman" w:cs="Times New Roman"/>
        </w:rPr>
        <w:t xml:space="preserve"> </w:t>
      </w:r>
      <w:r w:rsidR="00CA5D93" w:rsidRPr="00252717">
        <w:rPr>
          <w:rFonts w:ascii="Times New Roman" w:hAnsi="Times New Roman" w:cs="Times New Roman"/>
        </w:rPr>
        <w:t xml:space="preserve">This course is an overview of the </w:t>
      </w:r>
      <w:r w:rsidR="000D40C8" w:rsidRPr="00252717">
        <w:rPr>
          <w:rFonts w:ascii="Times New Roman" w:hAnsi="Times New Roman" w:cs="Times New Roman"/>
        </w:rPr>
        <w:t xml:space="preserve">contemporary research on </w:t>
      </w:r>
      <w:r w:rsidR="00CA5D93" w:rsidRPr="00252717">
        <w:rPr>
          <w:rFonts w:ascii="Times New Roman" w:hAnsi="Times New Roman" w:cs="Times New Roman"/>
        </w:rPr>
        <w:t>income inequality with a special emphasis on the roles of technology and institutions. The motivation of this course is the recent empirical trends such as the declining labor shares and the increasing wealth gap observed in most developed economies. The objective of the course is to explore the causes and the consequences of rising income inequality, and to explain the relevant policy tools.</w:t>
      </w:r>
    </w:p>
    <w:p w14:paraId="3FAB97BD" w14:textId="77777777" w:rsidR="00CA5D93" w:rsidRPr="00252717" w:rsidRDefault="00CA5D93" w:rsidP="006809D5">
      <w:pPr>
        <w:pStyle w:val="GvdeMetni"/>
        <w:spacing w:after="0" w:line="276" w:lineRule="auto"/>
        <w:rPr>
          <w:rFonts w:ascii="Times New Roman" w:hAnsi="Times New Roman" w:cs="Times New Roman"/>
        </w:rPr>
      </w:pPr>
      <w:bookmarkStart w:id="0" w:name="_GoBack"/>
      <w:bookmarkEnd w:id="0"/>
    </w:p>
    <w:p w14:paraId="0A45ED3C" w14:textId="77777777" w:rsidR="005478AE" w:rsidRDefault="00CA5D93" w:rsidP="005478AE">
      <w:pPr>
        <w:pStyle w:val="GvdeMetni"/>
        <w:spacing w:after="0" w:line="276" w:lineRule="auto"/>
        <w:rPr>
          <w:rFonts w:ascii="Times New Roman" w:hAnsi="Times New Roman" w:cs="Times New Roman"/>
        </w:rPr>
      </w:pPr>
      <w:r w:rsidRPr="00252717">
        <w:rPr>
          <w:rFonts w:ascii="Times New Roman" w:hAnsi="Times New Roman" w:cs="Times New Roman"/>
        </w:rPr>
        <w:t xml:space="preserve">The first part of the course explains the role of technology in income inequality: labor-saving </w:t>
      </w:r>
      <w:r w:rsidR="00C73234" w:rsidRPr="00252717">
        <w:rPr>
          <w:rFonts w:ascii="Times New Roman" w:hAnsi="Times New Roman" w:cs="Times New Roman"/>
        </w:rPr>
        <w:t>innovations</w:t>
      </w:r>
      <w:r w:rsidRPr="00252717">
        <w:rPr>
          <w:rFonts w:ascii="Times New Roman" w:hAnsi="Times New Roman" w:cs="Times New Roman"/>
        </w:rPr>
        <w:t xml:space="preserve">, R&amp;D investments </w:t>
      </w:r>
      <w:r w:rsidR="007C6359" w:rsidRPr="00252717">
        <w:rPr>
          <w:rFonts w:ascii="Times New Roman" w:hAnsi="Times New Roman" w:cs="Times New Roman"/>
        </w:rPr>
        <w:t xml:space="preserve">that create </w:t>
      </w:r>
      <w:r w:rsidRPr="00252717">
        <w:rPr>
          <w:rFonts w:ascii="Times New Roman" w:hAnsi="Times New Roman" w:cs="Times New Roman"/>
        </w:rPr>
        <w:t>monopoly profits, and skill-biased technical change</w:t>
      </w:r>
      <w:r w:rsidR="007C6359" w:rsidRPr="00252717">
        <w:rPr>
          <w:rFonts w:ascii="Times New Roman" w:hAnsi="Times New Roman" w:cs="Times New Roman"/>
        </w:rPr>
        <w:t xml:space="preserve"> that cause</w:t>
      </w:r>
      <w:r w:rsidR="00B0422F" w:rsidRPr="00252717">
        <w:rPr>
          <w:rFonts w:ascii="Times New Roman" w:hAnsi="Times New Roman" w:cs="Times New Roman"/>
        </w:rPr>
        <w:t>s</w:t>
      </w:r>
      <w:r w:rsidR="007C6359" w:rsidRPr="00252717">
        <w:rPr>
          <w:rFonts w:ascii="Times New Roman" w:hAnsi="Times New Roman" w:cs="Times New Roman"/>
        </w:rPr>
        <w:t xml:space="preserve"> wage inequality</w:t>
      </w:r>
      <w:r w:rsidRPr="00252717">
        <w:rPr>
          <w:rFonts w:ascii="Times New Roman" w:hAnsi="Times New Roman" w:cs="Times New Roman"/>
        </w:rPr>
        <w:t>. In the second part of the course, the role of</w:t>
      </w:r>
      <w:r w:rsidR="00C73234" w:rsidRPr="00252717">
        <w:rPr>
          <w:rFonts w:ascii="Times New Roman" w:hAnsi="Times New Roman" w:cs="Times New Roman"/>
        </w:rPr>
        <w:t xml:space="preserve"> </w:t>
      </w:r>
      <w:r w:rsidRPr="00252717">
        <w:rPr>
          <w:rFonts w:ascii="Times New Roman" w:hAnsi="Times New Roman" w:cs="Times New Roman"/>
        </w:rPr>
        <w:t>instit</w:t>
      </w:r>
      <w:r w:rsidR="00924B46" w:rsidRPr="00252717">
        <w:rPr>
          <w:rFonts w:ascii="Times New Roman" w:hAnsi="Times New Roman" w:cs="Times New Roman"/>
        </w:rPr>
        <w:t xml:space="preserve">utions are discussed: </w:t>
      </w:r>
      <w:proofErr w:type="spellStart"/>
      <w:r w:rsidR="00924B46" w:rsidRPr="00252717">
        <w:rPr>
          <w:rFonts w:ascii="Times New Roman" w:hAnsi="Times New Roman" w:cs="Times New Roman"/>
        </w:rPr>
        <w:t>deunionization</w:t>
      </w:r>
      <w:proofErr w:type="spellEnd"/>
      <w:r w:rsidR="00924B46" w:rsidRPr="00252717">
        <w:rPr>
          <w:rFonts w:ascii="Times New Roman" w:hAnsi="Times New Roman" w:cs="Times New Roman"/>
        </w:rPr>
        <w:t>,</w:t>
      </w:r>
      <w:r w:rsidRPr="00252717">
        <w:rPr>
          <w:rFonts w:ascii="Times New Roman" w:hAnsi="Times New Roman" w:cs="Times New Roman"/>
        </w:rPr>
        <w:t xml:space="preserve"> deregulation,</w:t>
      </w:r>
      <w:r w:rsidR="00924B46" w:rsidRPr="00252717">
        <w:rPr>
          <w:rFonts w:ascii="Times New Roman" w:hAnsi="Times New Roman" w:cs="Times New Roman"/>
        </w:rPr>
        <w:t xml:space="preserve"> lobbying,</w:t>
      </w:r>
      <w:r w:rsidRPr="00252717">
        <w:rPr>
          <w:rFonts w:ascii="Times New Roman" w:hAnsi="Times New Roman" w:cs="Times New Roman"/>
        </w:rPr>
        <w:t xml:space="preserve"> and family background. After analyzing the causes of rising inequality (i.e. technology and institutions), we discuss its consequences, such as financial instability, lower </w:t>
      </w:r>
      <w:r w:rsidR="007C6359" w:rsidRPr="00252717">
        <w:rPr>
          <w:rFonts w:ascii="Times New Roman" w:hAnsi="Times New Roman" w:cs="Times New Roman"/>
        </w:rPr>
        <w:t>growth rates, and lack of social mobility</w:t>
      </w:r>
      <w:r w:rsidRPr="00252717">
        <w:rPr>
          <w:rFonts w:ascii="Times New Roman" w:hAnsi="Times New Roman" w:cs="Times New Roman"/>
        </w:rPr>
        <w:t>.</w:t>
      </w:r>
      <w:r w:rsidR="005478AE">
        <w:rPr>
          <w:rFonts w:ascii="Times New Roman" w:hAnsi="Times New Roman" w:cs="Times New Roman"/>
        </w:rPr>
        <w:t xml:space="preserve"> </w:t>
      </w:r>
      <w:r w:rsidR="005478AE" w:rsidRPr="00252717">
        <w:rPr>
          <w:rFonts w:ascii="Times New Roman" w:hAnsi="Times New Roman" w:cs="Times New Roman"/>
        </w:rPr>
        <w:t>The course concludes with a discussion on policy tools such as redistribution of income and compensating early disadvantages with a certain emphasis on distributive justice.</w:t>
      </w:r>
    </w:p>
    <w:p w14:paraId="04C05206" w14:textId="77777777" w:rsidR="0094423A" w:rsidRDefault="0094423A" w:rsidP="006809D5">
      <w:pPr>
        <w:pStyle w:val="GvdeMetni"/>
        <w:spacing w:after="0" w:line="276" w:lineRule="auto"/>
        <w:rPr>
          <w:rFonts w:ascii="Times New Roman" w:hAnsi="Times New Roman" w:cs="Times New Roman"/>
        </w:rPr>
      </w:pPr>
    </w:p>
    <w:p w14:paraId="69E2F5E7" w14:textId="059B828B" w:rsidR="00CA5D93" w:rsidRDefault="0094423A" w:rsidP="005478AE">
      <w:pPr>
        <w:spacing w:line="276" w:lineRule="auto"/>
        <w:rPr>
          <w:b/>
        </w:rPr>
      </w:pPr>
      <w:r w:rsidRPr="0094423A">
        <w:rPr>
          <w:b/>
        </w:rPr>
        <w:t>Course objective:</w:t>
      </w:r>
      <w:r w:rsidR="005478AE">
        <w:rPr>
          <w:b/>
        </w:rPr>
        <w:t xml:space="preserve"> </w:t>
      </w:r>
      <w:r w:rsidR="005478AE" w:rsidRPr="005478AE">
        <w:t xml:space="preserve">The primary objective of this course is to </w:t>
      </w:r>
      <w:r w:rsidR="00DA50FB">
        <w:t>develop</w:t>
      </w:r>
      <w:r w:rsidR="005478AE" w:rsidRPr="005478AE">
        <w:t xml:space="preserve"> the necessary tools to explain </w:t>
      </w:r>
      <w:r w:rsidR="005478AE">
        <w:t>how</w:t>
      </w:r>
      <w:r w:rsidR="005478AE" w:rsidRPr="005478AE">
        <w:t xml:space="preserve"> income </w:t>
      </w:r>
      <w:r w:rsidR="00DA50FB">
        <w:t>distribution and institutions interact in the real world</w:t>
      </w:r>
      <w:r w:rsidR="005478AE" w:rsidRPr="005478AE">
        <w:t xml:space="preserve">, evaluate the empirical trends from an ethical perspective, and </w:t>
      </w:r>
      <w:r w:rsidR="00DA50FB">
        <w:t>make</w:t>
      </w:r>
      <w:r w:rsidR="005478AE" w:rsidRPr="005478AE">
        <w:t xml:space="preserve"> </w:t>
      </w:r>
      <w:r w:rsidR="00A5321E">
        <w:t>well-reasoned</w:t>
      </w:r>
      <w:r w:rsidR="005478AE" w:rsidRPr="005478AE">
        <w:t xml:space="preserve"> policy </w:t>
      </w:r>
      <w:r w:rsidR="00DA50FB">
        <w:t>suggestions</w:t>
      </w:r>
      <w:r w:rsidR="005478AE" w:rsidRPr="005478AE">
        <w:t xml:space="preserve"> on the subject.</w:t>
      </w:r>
      <w:r w:rsidR="005478AE">
        <w:rPr>
          <w:b/>
        </w:rPr>
        <w:t xml:space="preserve"> </w:t>
      </w:r>
    </w:p>
    <w:p w14:paraId="456180E5" w14:textId="77777777" w:rsidR="005478AE" w:rsidRPr="005478AE" w:rsidRDefault="005478AE" w:rsidP="005478AE">
      <w:pPr>
        <w:spacing w:line="276" w:lineRule="auto"/>
        <w:rPr>
          <w:b/>
        </w:rPr>
      </w:pPr>
    </w:p>
    <w:p w14:paraId="43009B73" w14:textId="58D6F26C" w:rsidR="00CA5D93" w:rsidRDefault="0094423A" w:rsidP="006809D5">
      <w:pPr>
        <w:pStyle w:val="GvdeMetni"/>
        <w:spacing w:after="0" w:line="276" w:lineRule="auto"/>
        <w:rPr>
          <w:rFonts w:ascii="Times New Roman" w:hAnsi="Times New Roman" w:cs="Times New Roman"/>
        </w:rPr>
      </w:pPr>
      <w:r w:rsidRPr="0094423A">
        <w:rPr>
          <w:rFonts w:ascii="Times New Roman" w:hAnsi="Times New Roman" w:cs="Times New Roman"/>
          <w:b/>
        </w:rPr>
        <w:t>Course outline:</w:t>
      </w:r>
      <w:r>
        <w:rPr>
          <w:rFonts w:ascii="Times New Roman" w:hAnsi="Times New Roman" w:cs="Times New Roman"/>
        </w:rPr>
        <w:t xml:space="preserve"> </w:t>
      </w:r>
      <w:r w:rsidR="00CA5D93" w:rsidRPr="00252717">
        <w:rPr>
          <w:rFonts w:ascii="Times New Roman" w:hAnsi="Times New Roman" w:cs="Times New Roman"/>
        </w:rPr>
        <w:t xml:space="preserve">Each subject is discussed based on an in-depth analysis of a classic text </w:t>
      </w:r>
      <w:r w:rsidR="005478AE">
        <w:rPr>
          <w:rFonts w:ascii="Times New Roman" w:hAnsi="Times New Roman" w:cs="Times New Roman"/>
        </w:rPr>
        <w:t xml:space="preserve">(or a recent significant contribution) </w:t>
      </w:r>
      <w:r w:rsidR="00CA5D93" w:rsidRPr="00252717">
        <w:rPr>
          <w:rFonts w:ascii="Times New Roman" w:hAnsi="Times New Roman" w:cs="Times New Roman"/>
        </w:rPr>
        <w:t xml:space="preserve">in the field and the complementary reading assignments with minimum technical requirements. </w:t>
      </w:r>
      <w:r w:rsidR="005478AE">
        <w:rPr>
          <w:rFonts w:ascii="Times New Roman" w:hAnsi="Times New Roman" w:cs="Times New Roman"/>
        </w:rPr>
        <w:t>T</w:t>
      </w:r>
      <w:r w:rsidR="00CA5D93" w:rsidRPr="00252717">
        <w:rPr>
          <w:rFonts w:ascii="Times New Roman" w:hAnsi="Times New Roman" w:cs="Times New Roman"/>
        </w:rPr>
        <w:t xml:space="preserve">he necessary tools, such as basic microeconomics and fundamental statistical concepts, are explained in the class. </w:t>
      </w:r>
    </w:p>
    <w:p w14:paraId="09586046" w14:textId="77777777" w:rsidR="006B4921" w:rsidRPr="00252717" w:rsidRDefault="006B4921" w:rsidP="006809D5">
      <w:pPr>
        <w:spacing w:line="276" w:lineRule="auto"/>
        <w:rPr>
          <w:sz w:val="22"/>
          <w:szCs w:val="22"/>
        </w:rPr>
      </w:pPr>
    </w:p>
    <w:p w14:paraId="1A723546" w14:textId="77777777" w:rsidR="00F839B9" w:rsidRPr="00252717" w:rsidRDefault="00F839B9" w:rsidP="006809D5">
      <w:pPr>
        <w:tabs>
          <w:tab w:val="left" w:pos="2520"/>
        </w:tabs>
        <w:spacing w:line="276" w:lineRule="auto"/>
        <w:jc w:val="both"/>
        <w:outlineLvl w:val="0"/>
        <w:rPr>
          <w:sz w:val="22"/>
          <w:szCs w:val="22"/>
        </w:rPr>
      </w:pPr>
    </w:p>
    <w:tbl>
      <w:tblPr>
        <w:tblW w:w="5954" w:type="dxa"/>
        <w:tblLayout w:type="fixed"/>
        <w:tblCellMar>
          <w:left w:w="0" w:type="dxa"/>
          <w:right w:w="0" w:type="dxa"/>
        </w:tblCellMar>
        <w:tblLook w:val="0000" w:firstRow="0" w:lastRow="0" w:firstColumn="0" w:lastColumn="0" w:noHBand="0" w:noVBand="0"/>
      </w:tblPr>
      <w:tblGrid>
        <w:gridCol w:w="868"/>
        <w:gridCol w:w="5086"/>
      </w:tblGrid>
      <w:tr w:rsidR="00737783" w:rsidRPr="00252717" w14:paraId="084DFAB5" w14:textId="77777777" w:rsidTr="0094423A">
        <w:trPr>
          <w:trHeight w:val="306"/>
        </w:trPr>
        <w:tc>
          <w:tcPr>
            <w:tcW w:w="868" w:type="dxa"/>
            <w:noWrap/>
            <w:tcMar>
              <w:top w:w="30" w:type="dxa"/>
              <w:left w:w="30" w:type="dxa"/>
              <w:bottom w:w="0" w:type="dxa"/>
              <w:right w:w="30" w:type="dxa"/>
            </w:tcMar>
            <w:vAlign w:val="center"/>
          </w:tcPr>
          <w:p w14:paraId="2A7276ED" w14:textId="77777777" w:rsidR="00737783" w:rsidRPr="00252717" w:rsidRDefault="00737783" w:rsidP="006809D5">
            <w:pPr>
              <w:spacing w:line="276" w:lineRule="auto"/>
              <w:jc w:val="center"/>
              <w:rPr>
                <w:bCs/>
                <w:color w:val="000000"/>
              </w:rPr>
            </w:pPr>
          </w:p>
        </w:tc>
        <w:tc>
          <w:tcPr>
            <w:tcW w:w="5086" w:type="dxa"/>
            <w:vAlign w:val="center"/>
          </w:tcPr>
          <w:p w14:paraId="04493A4B" w14:textId="739A0A95" w:rsidR="00A478C5" w:rsidRPr="00252717" w:rsidRDefault="0094423A" w:rsidP="006809D5">
            <w:pPr>
              <w:spacing w:line="276" w:lineRule="auto"/>
              <w:rPr>
                <w:b/>
                <w:bCs/>
                <w:color w:val="000000"/>
              </w:rPr>
            </w:pPr>
            <w:r>
              <w:rPr>
                <w:b/>
                <w:bCs/>
                <w:color w:val="000000"/>
              </w:rPr>
              <w:t>Topics</w:t>
            </w:r>
          </w:p>
        </w:tc>
      </w:tr>
      <w:tr w:rsidR="00737783" w:rsidRPr="00252717" w14:paraId="7B694B84" w14:textId="77777777" w:rsidTr="0094423A">
        <w:trPr>
          <w:trHeight w:val="306"/>
        </w:trPr>
        <w:tc>
          <w:tcPr>
            <w:tcW w:w="868" w:type="dxa"/>
            <w:noWrap/>
            <w:tcMar>
              <w:top w:w="30" w:type="dxa"/>
              <w:left w:w="30" w:type="dxa"/>
              <w:bottom w:w="0" w:type="dxa"/>
              <w:right w:w="30" w:type="dxa"/>
            </w:tcMar>
            <w:vAlign w:val="center"/>
          </w:tcPr>
          <w:p w14:paraId="3297B2B8" w14:textId="77777777" w:rsidR="00737783" w:rsidRPr="000E70C4" w:rsidRDefault="00737783" w:rsidP="006809D5">
            <w:pPr>
              <w:spacing w:line="276" w:lineRule="auto"/>
              <w:jc w:val="center"/>
              <w:rPr>
                <w:bCs/>
                <w:color w:val="000000"/>
              </w:rPr>
            </w:pPr>
            <w:r w:rsidRPr="000E70C4">
              <w:rPr>
                <w:bCs/>
                <w:color w:val="000000"/>
              </w:rPr>
              <w:t>1</w:t>
            </w:r>
          </w:p>
        </w:tc>
        <w:tc>
          <w:tcPr>
            <w:tcW w:w="5086" w:type="dxa"/>
            <w:vAlign w:val="center"/>
          </w:tcPr>
          <w:p w14:paraId="00B002D5" w14:textId="77777777" w:rsidR="00737783" w:rsidRPr="000E70C4" w:rsidRDefault="00737783" w:rsidP="006809D5">
            <w:pPr>
              <w:spacing w:line="276" w:lineRule="auto"/>
              <w:rPr>
                <w:bCs/>
                <w:color w:val="000000"/>
              </w:rPr>
            </w:pPr>
            <w:r w:rsidRPr="000E70C4">
              <w:rPr>
                <w:bCs/>
                <w:color w:val="000000"/>
              </w:rPr>
              <w:t>Introduction and basic concepts</w:t>
            </w:r>
          </w:p>
        </w:tc>
      </w:tr>
      <w:tr w:rsidR="000E70C4" w:rsidRPr="00252717" w14:paraId="313C63D9" w14:textId="77777777" w:rsidTr="0094423A">
        <w:trPr>
          <w:trHeight w:val="306"/>
        </w:trPr>
        <w:tc>
          <w:tcPr>
            <w:tcW w:w="868" w:type="dxa"/>
            <w:noWrap/>
            <w:tcMar>
              <w:top w:w="30" w:type="dxa"/>
              <w:left w:w="30" w:type="dxa"/>
              <w:bottom w:w="0" w:type="dxa"/>
              <w:right w:w="30" w:type="dxa"/>
            </w:tcMar>
            <w:vAlign w:val="center"/>
          </w:tcPr>
          <w:p w14:paraId="39D364D5" w14:textId="5F31538F" w:rsidR="000E70C4" w:rsidRPr="000E70C4" w:rsidRDefault="000E70C4" w:rsidP="006809D5">
            <w:pPr>
              <w:spacing w:line="276" w:lineRule="auto"/>
              <w:jc w:val="center"/>
              <w:rPr>
                <w:bCs/>
                <w:color w:val="000000"/>
              </w:rPr>
            </w:pPr>
            <w:r w:rsidRPr="000E70C4">
              <w:rPr>
                <w:bCs/>
                <w:color w:val="000000"/>
              </w:rPr>
              <w:t>2</w:t>
            </w:r>
          </w:p>
        </w:tc>
        <w:tc>
          <w:tcPr>
            <w:tcW w:w="5086" w:type="dxa"/>
            <w:vAlign w:val="center"/>
          </w:tcPr>
          <w:p w14:paraId="7DD00AD4" w14:textId="74CF46FB" w:rsidR="000E70C4" w:rsidRPr="000E70C4" w:rsidRDefault="000E70C4" w:rsidP="006809D5">
            <w:pPr>
              <w:spacing w:line="276" w:lineRule="auto"/>
              <w:rPr>
                <w:bCs/>
                <w:color w:val="000000"/>
              </w:rPr>
            </w:pPr>
            <w:r w:rsidRPr="000E70C4">
              <w:t>Economic inequality: reality vs. perception.</w:t>
            </w:r>
          </w:p>
        </w:tc>
      </w:tr>
      <w:tr w:rsidR="00737783" w:rsidRPr="00252717" w14:paraId="43D2F7DE" w14:textId="77777777" w:rsidTr="0094423A">
        <w:trPr>
          <w:trHeight w:val="306"/>
        </w:trPr>
        <w:tc>
          <w:tcPr>
            <w:tcW w:w="868" w:type="dxa"/>
            <w:noWrap/>
            <w:tcMar>
              <w:top w:w="30" w:type="dxa"/>
              <w:left w:w="30" w:type="dxa"/>
              <w:bottom w:w="0" w:type="dxa"/>
              <w:right w:w="30" w:type="dxa"/>
            </w:tcMar>
            <w:vAlign w:val="center"/>
          </w:tcPr>
          <w:p w14:paraId="1182F241" w14:textId="2354FF9B" w:rsidR="00737783" w:rsidRPr="000E70C4" w:rsidRDefault="000E70C4" w:rsidP="006809D5">
            <w:pPr>
              <w:spacing w:line="276" w:lineRule="auto"/>
              <w:jc w:val="center"/>
              <w:rPr>
                <w:bCs/>
                <w:color w:val="000000"/>
              </w:rPr>
            </w:pPr>
            <w:r w:rsidRPr="000E70C4">
              <w:rPr>
                <w:bCs/>
                <w:color w:val="000000"/>
              </w:rPr>
              <w:t>3</w:t>
            </w:r>
          </w:p>
        </w:tc>
        <w:tc>
          <w:tcPr>
            <w:tcW w:w="5086" w:type="dxa"/>
            <w:vAlign w:val="center"/>
          </w:tcPr>
          <w:p w14:paraId="67946AD2" w14:textId="47E72FAF" w:rsidR="00737783" w:rsidRPr="000E70C4" w:rsidRDefault="0094423A" w:rsidP="006809D5">
            <w:pPr>
              <w:spacing w:line="276" w:lineRule="auto"/>
              <w:rPr>
                <w:bCs/>
                <w:color w:val="000000"/>
              </w:rPr>
            </w:pPr>
            <w:r>
              <w:t xml:space="preserve">Declining </w:t>
            </w:r>
            <w:r w:rsidR="000E70C4" w:rsidRPr="000E70C4">
              <w:t>labor share</w:t>
            </w:r>
            <w:r>
              <w:t xml:space="preserve"> of income</w:t>
            </w:r>
            <w:r w:rsidR="000E70C4" w:rsidRPr="000E70C4">
              <w:t xml:space="preserve"> I: Technology</w:t>
            </w:r>
          </w:p>
        </w:tc>
      </w:tr>
      <w:tr w:rsidR="000E70C4" w:rsidRPr="00252717" w14:paraId="242378CB" w14:textId="77777777" w:rsidTr="0094423A">
        <w:trPr>
          <w:trHeight w:val="306"/>
        </w:trPr>
        <w:tc>
          <w:tcPr>
            <w:tcW w:w="868" w:type="dxa"/>
            <w:noWrap/>
            <w:tcMar>
              <w:top w:w="30" w:type="dxa"/>
              <w:left w:w="30" w:type="dxa"/>
              <w:bottom w:w="0" w:type="dxa"/>
              <w:right w:w="30" w:type="dxa"/>
            </w:tcMar>
            <w:vAlign w:val="center"/>
          </w:tcPr>
          <w:p w14:paraId="6D0D3848" w14:textId="7FDDBE09" w:rsidR="000E70C4" w:rsidRPr="000E70C4" w:rsidRDefault="000E70C4" w:rsidP="006809D5">
            <w:pPr>
              <w:spacing w:line="276" w:lineRule="auto"/>
              <w:jc w:val="center"/>
              <w:rPr>
                <w:bCs/>
                <w:color w:val="000000"/>
              </w:rPr>
            </w:pPr>
            <w:r w:rsidRPr="000E70C4">
              <w:rPr>
                <w:bCs/>
                <w:color w:val="000000"/>
              </w:rPr>
              <w:t>4</w:t>
            </w:r>
          </w:p>
        </w:tc>
        <w:tc>
          <w:tcPr>
            <w:tcW w:w="5086" w:type="dxa"/>
            <w:vAlign w:val="center"/>
          </w:tcPr>
          <w:p w14:paraId="2F352043" w14:textId="4A5B2480" w:rsidR="000E70C4" w:rsidRPr="000E70C4" w:rsidRDefault="0094423A" w:rsidP="006809D5">
            <w:pPr>
              <w:spacing w:line="276" w:lineRule="auto"/>
            </w:pPr>
            <w:r>
              <w:t xml:space="preserve">Declining </w:t>
            </w:r>
            <w:r w:rsidRPr="000E70C4">
              <w:t>labor share</w:t>
            </w:r>
            <w:r>
              <w:t xml:space="preserve"> of income II</w:t>
            </w:r>
            <w:r w:rsidR="000E70C4" w:rsidRPr="000E70C4">
              <w:t>: Monopolization.</w:t>
            </w:r>
          </w:p>
        </w:tc>
      </w:tr>
      <w:tr w:rsidR="00737783" w:rsidRPr="00252717" w14:paraId="6E939924" w14:textId="77777777" w:rsidTr="0094423A">
        <w:trPr>
          <w:trHeight w:val="306"/>
        </w:trPr>
        <w:tc>
          <w:tcPr>
            <w:tcW w:w="868" w:type="dxa"/>
            <w:noWrap/>
            <w:tcMar>
              <w:top w:w="30" w:type="dxa"/>
              <w:left w:w="30" w:type="dxa"/>
              <w:bottom w:w="0" w:type="dxa"/>
              <w:right w:w="30" w:type="dxa"/>
            </w:tcMar>
            <w:vAlign w:val="center"/>
          </w:tcPr>
          <w:p w14:paraId="591E0FA6" w14:textId="0DAFC92A" w:rsidR="00737783" w:rsidRPr="000E70C4" w:rsidRDefault="000E70C4" w:rsidP="006809D5">
            <w:pPr>
              <w:spacing w:line="276" w:lineRule="auto"/>
              <w:jc w:val="center"/>
              <w:rPr>
                <w:bCs/>
                <w:color w:val="000000"/>
              </w:rPr>
            </w:pPr>
            <w:r w:rsidRPr="000E70C4">
              <w:rPr>
                <w:bCs/>
                <w:color w:val="000000"/>
              </w:rPr>
              <w:t>5</w:t>
            </w:r>
          </w:p>
        </w:tc>
        <w:tc>
          <w:tcPr>
            <w:tcW w:w="5086" w:type="dxa"/>
            <w:vAlign w:val="center"/>
          </w:tcPr>
          <w:p w14:paraId="714B3DED" w14:textId="64E95C9C" w:rsidR="00737783" w:rsidRPr="000E70C4" w:rsidRDefault="000E70C4" w:rsidP="006809D5">
            <w:pPr>
              <w:spacing w:line="276" w:lineRule="auto"/>
              <w:rPr>
                <w:bCs/>
                <w:color w:val="000000"/>
              </w:rPr>
            </w:pPr>
            <w:r w:rsidRPr="000E70C4">
              <w:t>Wages and skills: Inequality among 99%.</w:t>
            </w:r>
          </w:p>
        </w:tc>
      </w:tr>
      <w:tr w:rsidR="00737783" w:rsidRPr="00252717" w14:paraId="364A3336" w14:textId="77777777" w:rsidTr="0094423A">
        <w:trPr>
          <w:trHeight w:val="306"/>
        </w:trPr>
        <w:tc>
          <w:tcPr>
            <w:tcW w:w="868" w:type="dxa"/>
            <w:noWrap/>
            <w:tcMar>
              <w:top w:w="30" w:type="dxa"/>
              <w:left w:w="30" w:type="dxa"/>
              <w:bottom w:w="0" w:type="dxa"/>
              <w:right w:w="30" w:type="dxa"/>
            </w:tcMar>
            <w:vAlign w:val="center"/>
          </w:tcPr>
          <w:p w14:paraId="2F66F796" w14:textId="3FE53834" w:rsidR="00737783" w:rsidRPr="000E70C4" w:rsidRDefault="000E70C4" w:rsidP="006809D5">
            <w:pPr>
              <w:spacing w:line="276" w:lineRule="auto"/>
              <w:jc w:val="center"/>
              <w:rPr>
                <w:bCs/>
                <w:color w:val="000000"/>
              </w:rPr>
            </w:pPr>
            <w:r w:rsidRPr="000E70C4">
              <w:rPr>
                <w:bCs/>
                <w:color w:val="000000"/>
              </w:rPr>
              <w:t>6</w:t>
            </w:r>
          </w:p>
        </w:tc>
        <w:tc>
          <w:tcPr>
            <w:tcW w:w="5086" w:type="dxa"/>
            <w:vAlign w:val="center"/>
          </w:tcPr>
          <w:p w14:paraId="1C34F290" w14:textId="28B7FF55" w:rsidR="00737783" w:rsidRPr="000E70C4" w:rsidRDefault="00DD4E8A" w:rsidP="00DD4E8A">
            <w:pPr>
              <w:spacing w:line="276" w:lineRule="auto"/>
              <w:rPr>
                <w:bCs/>
                <w:color w:val="000000"/>
              </w:rPr>
            </w:pPr>
            <w:r w:rsidRPr="000E70C4">
              <w:rPr>
                <w:bCs/>
                <w:color w:val="000000"/>
              </w:rPr>
              <w:t>Distributive justice</w:t>
            </w:r>
            <w:r w:rsidRPr="000E70C4">
              <w:rPr>
                <w:bCs/>
                <w:color w:val="000000"/>
              </w:rPr>
              <w:t xml:space="preserve"> </w:t>
            </w:r>
          </w:p>
        </w:tc>
      </w:tr>
      <w:tr w:rsidR="00737783" w:rsidRPr="00252717" w14:paraId="1CADF867" w14:textId="77777777" w:rsidTr="0094423A">
        <w:trPr>
          <w:trHeight w:val="306"/>
        </w:trPr>
        <w:tc>
          <w:tcPr>
            <w:tcW w:w="868" w:type="dxa"/>
            <w:noWrap/>
            <w:tcMar>
              <w:top w:w="30" w:type="dxa"/>
              <w:left w:w="30" w:type="dxa"/>
              <w:bottom w:w="0" w:type="dxa"/>
              <w:right w:w="30" w:type="dxa"/>
            </w:tcMar>
            <w:vAlign w:val="center"/>
          </w:tcPr>
          <w:p w14:paraId="579B8199" w14:textId="2D715934" w:rsidR="00737783" w:rsidRPr="000E70C4" w:rsidRDefault="000E70C4" w:rsidP="006809D5">
            <w:pPr>
              <w:spacing w:line="276" w:lineRule="auto"/>
              <w:jc w:val="center"/>
              <w:rPr>
                <w:bCs/>
                <w:color w:val="000000"/>
              </w:rPr>
            </w:pPr>
            <w:r w:rsidRPr="000E70C4">
              <w:rPr>
                <w:bCs/>
                <w:color w:val="000000"/>
              </w:rPr>
              <w:t>7</w:t>
            </w:r>
          </w:p>
        </w:tc>
        <w:tc>
          <w:tcPr>
            <w:tcW w:w="5086" w:type="dxa"/>
            <w:vAlign w:val="center"/>
          </w:tcPr>
          <w:p w14:paraId="03C7A267" w14:textId="44A70DAA" w:rsidR="00D67172" w:rsidRPr="000E70C4" w:rsidRDefault="00DD4E8A" w:rsidP="00DD4E8A">
            <w:pPr>
              <w:spacing w:line="276" w:lineRule="auto"/>
              <w:rPr>
                <w:bCs/>
                <w:color w:val="000000"/>
              </w:rPr>
            </w:pPr>
            <w:r w:rsidRPr="000E70C4">
              <w:rPr>
                <w:bCs/>
                <w:color w:val="000000"/>
              </w:rPr>
              <w:t>Intergenerational mobility</w:t>
            </w:r>
            <w:r w:rsidRPr="000E70C4">
              <w:rPr>
                <w:bCs/>
                <w:color w:val="000000"/>
              </w:rPr>
              <w:t xml:space="preserve"> </w:t>
            </w:r>
          </w:p>
        </w:tc>
      </w:tr>
      <w:tr w:rsidR="00D67172" w:rsidRPr="00252717" w14:paraId="3A0247E8" w14:textId="77777777" w:rsidTr="0094423A">
        <w:trPr>
          <w:trHeight w:val="306"/>
        </w:trPr>
        <w:tc>
          <w:tcPr>
            <w:tcW w:w="868" w:type="dxa"/>
            <w:noWrap/>
            <w:tcMar>
              <w:top w:w="30" w:type="dxa"/>
              <w:left w:w="30" w:type="dxa"/>
              <w:bottom w:w="0" w:type="dxa"/>
              <w:right w:w="30" w:type="dxa"/>
            </w:tcMar>
            <w:vAlign w:val="center"/>
          </w:tcPr>
          <w:p w14:paraId="591F369F" w14:textId="4549F164" w:rsidR="00D67172" w:rsidRPr="000E70C4" w:rsidRDefault="000E70C4" w:rsidP="006809D5">
            <w:pPr>
              <w:spacing w:line="276" w:lineRule="auto"/>
              <w:jc w:val="center"/>
              <w:rPr>
                <w:bCs/>
                <w:color w:val="000000"/>
              </w:rPr>
            </w:pPr>
            <w:r w:rsidRPr="000E70C4">
              <w:rPr>
                <w:bCs/>
                <w:color w:val="000000"/>
              </w:rPr>
              <w:t>8</w:t>
            </w:r>
          </w:p>
        </w:tc>
        <w:tc>
          <w:tcPr>
            <w:tcW w:w="5086" w:type="dxa"/>
            <w:vAlign w:val="center"/>
          </w:tcPr>
          <w:p w14:paraId="1D7F5C3D" w14:textId="2F7B0D33" w:rsidR="00D67172" w:rsidRPr="000E70C4" w:rsidRDefault="000E70C4" w:rsidP="000E70C4">
            <w:pPr>
              <w:spacing w:line="276" w:lineRule="auto"/>
              <w:rPr>
                <w:bCs/>
                <w:color w:val="000000"/>
              </w:rPr>
            </w:pPr>
            <w:r w:rsidRPr="000E70C4">
              <w:rPr>
                <w:bCs/>
                <w:color w:val="000000"/>
              </w:rPr>
              <w:t>Inequality and financial markets.</w:t>
            </w:r>
          </w:p>
        </w:tc>
      </w:tr>
      <w:tr w:rsidR="00D67172" w:rsidRPr="00252717" w14:paraId="5C66C157" w14:textId="77777777" w:rsidTr="0094423A">
        <w:trPr>
          <w:trHeight w:val="306"/>
        </w:trPr>
        <w:tc>
          <w:tcPr>
            <w:tcW w:w="868" w:type="dxa"/>
            <w:noWrap/>
            <w:tcMar>
              <w:top w:w="30" w:type="dxa"/>
              <w:left w:w="30" w:type="dxa"/>
              <w:bottom w:w="0" w:type="dxa"/>
              <w:right w:w="30" w:type="dxa"/>
            </w:tcMar>
            <w:vAlign w:val="center"/>
          </w:tcPr>
          <w:p w14:paraId="048D6E85" w14:textId="62BB7C9E" w:rsidR="00D67172" w:rsidRPr="000E70C4" w:rsidRDefault="000E70C4" w:rsidP="006809D5">
            <w:pPr>
              <w:spacing w:line="276" w:lineRule="auto"/>
              <w:jc w:val="center"/>
              <w:rPr>
                <w:bCs/>
                <w:color w:val="000000"/>
              </w:rPr>
            </w:pPr>
            <w:r w:rsidRPr="000E70C4">
              <w:rPr>
                <w:bCs/>
                <w:color w:val="000000"/>
              </w:rPr>
              <w:t>9</w:t>
            </w:r>
          </w:p>
        </w:tc>
        <w:tc>
          <w:tcPr>
            <w:tcW w:w="5086" w:type="dxa"/>
            <w:vAlign w:val="center"/>
          </w:tcPr>
          <w:p w14:paraId="40D5929F" w14:textId="3AB8BC99" w:rsidR="00D67172" w:rsidRPr="000E70C4" w:rsidRDefault="00D67172" w:rsidP="006809D5">
            <w:pPr>
              <w:spacing w:line="276" w:lineRule="auto"/>
              <w:rPr>
                <w:bCs/>
                <w:color w:val="000000"/>
              </w:rPr>
            </w:pPr>
            <w:r w:rsidRPr="000E70C4">
              <w:rPr>
                <w:bCs/>
                <w:color w:val="000000"/>
              </w:rPr>
              <w:t xml:space="preserve">Inequality and </w:t>
            </w:r>
            <w:r w:rsidR="004A35A7" w:rsidRPr="000E70C4">
              <w:rPr>
                <w:bCs/>
                <w:color w:val="000000"/>
              </w:rPr>
              <w:t>Growth</w:t>
            </w:r>
          </w:p>
        </w:tc>
      </w:tr>
      <w:tr w:rsidR="000E70C4" w:rsidRPr="00252717" w14:paraId="187B1D29" w14:textId="77777777" w:rsidTr="0094423A">
        <w:trPr>
          <w:trHeight w:val="306"/>
        </w:trPr>
        <w:tc>
          <w:tcPr>
            <w:tcW w:w="868" w:type="dxa"/>
            <w:noWrap/>
            <w:tcMar>
              <w:top w:w="30" w:type="dxa"/>
              <w:left w:w="30" w:type="dxa"/>
              <w:bottom w:w="0" w:type="dxa"/>
              <w:right w:w="30" w:type="dxa"/>
            </w:tcMar>
            <w:vAlign w:val="center"/>
          </w:tcPr>
          <w:p w14:paraId="648C5470" w14:textId="15F368F7" w:rsidR="000E70C4" w:rsidRPr="000E70C4" w:rsidRDefault="00DD4E8A" w:rsidP="006809D5">
            <w:pPr>
              <w:spacing w:line="276" w:lineRule="auto"/>
              <w:jc w:val="center"/>
              <w:rPr>
                <w:bCs/>
                <w:color w:val="000000"/>
              </w:rPr>
            </w:pPr>
            <w:r>
              <w:rPr>
                <w:bCs/>
                <w:color w:val="000000"/>
              </w:rPr>
              <w:t>10</w:t>
            </w:r>
          </w:p>
        </w:tc>
        <w:tc>
          <w:tcPr>
            <w:tcW w:w="5086" w:type="dxa"/>
            <w:vAlign w:val="center"/>
          </w:tcPr>
          <w:p w14:paraId="76904A30" w14:textId="0E8323C6" w:rsidR="000E70C4" w:rsidRPr="000E70C4" w:rsidRDefault="0094423A" w:rsidP="0094423A">
            <w:pPr>
              <w:spacing w:line="276" w:lineRule="auto"/>
              <w:rPr>
                <w:bCs/>
                <w:color w:val="000000"/>
              </w:rPr>
            </w:pPr>
            <w:r>
              <w:rPr>
                <w:bCs/>
                <w:color w:val="000000"/>
              </w:rPr>
              <w:t xml:space="preserve">Inequality </w:t>
            </w:r>
            <w:r w:rsidR="000E70C4" w:rsidRPr="000E70C4">
              <w:rPr>
                <w:bCs/>
                <w:color w:val="000000"/>
              </w:rPr>
              <w:t xml:space="preserve">and </w:t>
            </w:r>
            <w:r>
              <w:rPr>
                <w:bCs/>
                <w:color w:val="000000"/>
              </w:rPr>
              <w:t>re</w:t>
            </w:r>
            <w:r w:rsidR="000E70C4" w:rsidRPr="000E70C4">
              <w:rPr>
                <w:bCs/>
                <w:color w:val="000000"/>
              </w:rPr>
              <w:t>distribution</w:t>
            </w:r>
          </w:p>
        </w:tc>
      </w:tr>
    </w:tbl>
    <w:p w14:paraId="5E919B73" w14:textId="77777777" w:rsidR="00544C2F" w:rsidRDefault="00544C2F" w:rsidP="00055472">
      <w:pPr>
        <w:spacing w:line="276" w:lineRule="auto"/>
        <w:rPr>
          <w:b/>
        </w:rPr>
      </w:pPr>
    </w:p>
    <w:p w14:paraId="537E55B6" w14:textId="77777777" w:rsidR="00544C2F" w:rsidRDefault="00544C2F" w:rsidP="00055472">
      <w:pPr>
        <w:spacing w:line="276" w:lineRule="auto"/>
        <w:rPr>
          <w:b/>
        </w:rPr>
      </w:pPr>
    </w:p>
    <w:p w14:paraId="12254E09" w14:textId="77777777" w:rsidR="00A44DD9" w:rsidRPr="00252717" w:rsidRDefault="00A44DD9" w:rsidP="0094423A">
      <w:pPr>
        <w:spacing w:line="276" w:lineRule="auto"/>
        <w:jc w:val="center"/>
        <w:rPr>
          <w:b/>
        </w:rPr>
      </w:pPr>
      <w:r w:rsidRPr="00252717">
        <w:rPr>
          <w:b/>
        </w:rPr>
        <w:t>Reading list</w:t>
      </w:r>
    </w:p>
    <w:p w14:paraId="3C2F7C72" w14:textId="312927C3" w:rsidR="00A44DD9" w:rsidRPr="00252717" w:rsidRDefault="00A44DD9" w:rsidP="006809D5">
      <w:pPr>
        <w:spacing w:line="276" w:lineRule="auto"/>
        <w:jc w:val="both"/>
        <w:rPr>
          <w:b/>
        </w:rPr>
      </w:pPr>
      <w:r w:rsidRPr="00252717">
        <w:rPr>
          <w:b/>
        </w:rPr>
        <w:t>Week 1: Introduction and basic concepts</w:t>
      </w:r>
      <w:r w:rsidR="00241662" w:rsidRPr="00252717">
        <w:rPr>
          <w:b/>
        </w:rPr>
        <w:t>.</w:t>
      </w:r>
    </w:p>
    <w:p w14:paraId="04C5FEB4" w14:textId="5547ACF8" w:rsidR="00A44DD9" w:rsidRPr="00252717" w:rsidRDefault="00BA36EB" w:rsidP="006809D5">
      <w:pPr>
        <w:pStyle w:val="ListeParagraf"/>
        <w:numPr>
          <w:ilvl w:val="0"/>
          <w:numId w:val="32"/>
        </w:numPr>
        <w:spacing w:after="160" w:line="276" w:lineRule="auto"/>
        <w:jc w:val="both"/>
      </w:pPr>
      <w:r>
        <w:t xml:space="preserve">Lecture notes (Gini coefficient, Lorentz curve, </w:t>
      </w:r>
      <w:r w:rsidR="00055472">
        <w:t>percentiles</w:t>
      </w:r>
      <w:r>
        <w:t>, etc.)</w:t>
      </w:r>
    </w:p>
    <w:p w14:paraId="7B68FF10" w14:textId="1246FD98" w:rsidR="00252717" w:rsidRPr="00252717" w:rsidRDefault="00A44DD9" w:rsidP="006809D5">
      <w:pPr>
        <w:tabs>
          <w:tab w:val="left" w:pos="3690"/>
        </w:tabs>
        <w:spacing w:line="276" w:lineRule="auto"/>
        <w:jc w:val="both"/>
      </w:pPr>
      <w:r w:rsidRPr="00252717">
        <w:t xml:space="preserve">Supplementary reading: </w:t>
      </w:r>
      <w:r w:rsidRPr="00252717">
        <w:tab/>
      </w:r>
    </w:p>
    <w:p w14:paraId="4AEBD6E1" w14:textId="75F011DF" w:rsidR="00A44DD9" w:rsidRPr="00252717" w:rsidRDefault="00A44DD9" w:rsidP="006809D5">
      <w:pPr>
        <w:pStyle w:val="ListeParagraf"/>
        <w:numPr>
          <w:ilvl w:val="0"/>
          <w:numId w:val="32"/>
        </w:numPr>
        <w:spacing w:after="160" w:line="276" w:lineRule="auto"/>
        <w:jc w:val="both"/>
      </w:pPr>
      <w:r w:rsidRPr="00252717">
        <w:t xml:space="preserve">Chapters 19 in </w:t>
      </w:r>
      <w:proofErr w:type="gramStart"/>
      <w:r w:rsidRPr="00252717">
        <w:rPr>
          <w:shd w:val="clear" w:color="auto" w:fill="FFFFFF"/>
        </w:rPr>
        <w:t>The</w:t>
      </w:r>
      <w:proofErr w:type="gramEnd"/>
      <w:r w:rsidRPr="00252717">
        <w:rPr>
          <w:shd w:val="clear" w:color="auto" w:fill="FFFFFF"/>
        </w:rPr>
        <w:t xml:space="preserve"> Core Team. </w:t>
      </w:r>
      <w:r w:rsidRPr="00252717">
        <w:rPr>
          <w:i/>
          <w:iCs/>
          <w:shd w:val="clear" w:color="auto" w:fill="FFFFFF"/>
        </w:rPr>
        <w:t>The Economy: Economics for a changing world</w:t>
      </w:r>
      <w:r w:rsidRPr="00252717">
        <w:rPr>
          <w:shd w:val="clear" w:color="auto" w:fill="FFFFFF"/>
        </w:rPr>
        <w:t>. CORE Project, 2017.</w:t>
      </w:r>
    </w:p>
    <w:p w14:paraId="204DEA05" w14:textId="365F90E8" w:rsidR="00172402" w:rsidRPr="00BA36EB" w:rsidRDefault="0069398D" w:rsidP="006809D5">
      <w:pPr>
        <w:spacing w:after="160" w:line="276" w:lineRule="auto"/>
        <w:jc w:val="both"/>
        <w:rPr>
          <w:b/>
        </w:rPr>
      </w:pPr>
      <w:r w:rsidRPr="00BA36EB">
        <w:rPr>
          <w:b/>
        </w:rPr>
        <w:t>Week 2:</w:t>
      </w:r>
      <w:r w:rsidR="00172402" w:rsidRPr="00BA36EB">
        <w:rPr>
          <w:b/>
        </w:rPr>
        <w:t xml:space="preserve"> </w:t>
      </w:r>
      <w:r w:rsidR="00BA36EB">
        <w:rPr>
          <w:b/>
        </w:rPr>
        <w:t>Economic</w:t>
      </w:r>
      <w:r w:rsidR="00172402" w:rsidRPr="00BA36EB">
        <w:rPr>
          <w:b/>
        </w:rPr>
        <w:t xml:space="preserve"> inequality: reality vs. perception.</w:t>
      </w:r>
    </w:p>
    <w:p w14:paraId="27D066FA" w14:textId="257671CF" w:rsidR="00DB23A6" w:rsidRPr="00DB23A6" w:rsidRDefault="00DB23A6" w:rsidP="00DB23A6">
      <w:pPr>
        <w:pStyle w:val="ListeParagraf"/>
        <w:numPr>
          <w:ilvl w:val="0"/>
          <w:numId w:val="32"/>
        </w:numPr>
        <w:spacing w:after="160" w:line="276" w:lineRule="auto"/>
        <w:jc w:val="both"/>
      </w:pPr>
      <w:r w:rsidRPr="00252717">
        <w:rPr>
          <w:color w:val="222222"/>
          <w:shd w:val="clear" w:color="auto" w:fill="FFFFFF"/>
        </w:rPr>
        <w:t>Fitz, Nicholas. "Economic inequality: It’s far worse than you think." </w:t>
      </w:r>
      <w:r w:rsidRPr="00252717">
        <w:rPr>
          <w:i/>
          <w:iCs/>
          <w:color w:val="222222"/>
          <w:shd w:val="clear" w:color="auto" w:fill="FFFFFF"/>
        </w:rPr>
        <w:t>Scientific American</w:t>
      </w:r>
      <w:r w:rsidRPr="00252717">
        <w:rPr>
          <w:color w:val="222222"/>
          <w:shd w:val="clear" w:color="auto" w:fill="FFFFFF"/>
        </w:rPr>
        <w:t> 31 (2015).</w:t>
      </w:r>
    </w:p>
    <w:p w14:paraId="4BDC3972" w14:textId="77777777" w:rsidR="00DB23A6" w:rsidRPr="00BA36EB" w:rsidRDefault="00DB23A6" w:rsidP="00DB23A6">
      <w:pPr>
        <w:pStyle w:val="ListeParagraf"/>
        <w:numPr>
          <w:ilvl w:val="0"/>
          <w:numId w:val="32"/>
        </w:numPr>
        <w:spacing w:after="160" w:line="276" w:lineRule="auto"/>
        <w:jc w:val="both"/>
      </w:pPr>
      <w:r w:rsidRPr="00BA36EB">
        <w:rPr>
          <w:color w:val="222222"/>
          <w:shd w:val="clear" w:color="auto" w:fill="FFFFFF"/>
        </w:rPr>
        <w:t xml:space="preserve">Norton, Michael I., and Dan </w:t>
      </w:r>
      <w:proofErr w:type="spellStart"/>
      <w:r w:rsidRPr="00BA36EB">
        <w:rPr>
          <w:color w:val="222222"/>
          <w:shd w:val="clear" w:color="auto" w:fill="FFFFFF"/>
        </w:rPr>
        <w:t>Ariely</w:t>
      </w:r>
      <w:proofErr w:type="spellEnd"/>
      <w:r w:rsidRPr="00BA36EB">
        <w:rPr>
          <w:color w:val="222222"/>
          <w:shd w:val="clear" w:color="auto" w:fill="FFFFFF"/>
        </w:rPr>
        <w:t>. "Building a better America—</w:t>
      </w:r>
      <w:proofErr w:type="gramStart"/>
      <w:r w:rsidRPr="00BA36EB">
        <w:rPr>
          <w:color w:val="222222"/>
          <w:shd w:val="clear" w:color="auto" w:fill="FFFFFF"/>
        </w:rPr>
        <w:t>One</w:t>
      </w:r>
      <w:proofErr w:type="gramEnd"/>
      <w:r w:rsidRPr="00BA36EB">
        <w:rPr>
          <w:color w:val="222222"/>
          <w:shd w:val="clear" w:color="auto" w:fill="FFFFFF"/>
        </w:rPr>
        <w:t xml:space="preserve"> wealth quintile at a time." </w:t>
      </w:r>
      <w:r w:rsidRPr="00BA36EB">
        <w:rPr>
          <w:i/>
          <w:iCs/>
          <w:color w:val="222222"/>
          <w:shd w:val="clear" w:color="auto" w:fill="FFFFFF"/>
        </w:rPr>
        <w:t>Perspectives on psychological science</w:t>
      </w:r>
      <w:r w:rsidRPr="00BA36EB">
        <w:rPr>
          <w:color w:val="222222"/>
          <w:shd w:val="clear" w:color="auto" w:fill="FFFFFF"/>
        </w:rPr>
        <w:t> 6.1 (2011): 9-12.</w:t>
      </w:r>
    </w:p>
    <w:p w14:paraId="2FD96417" w14:textId="40745D4C" w:rsidR="00BA36EB" w:rsidRPr="00252717" w:rsidRDefault="00DB23A6" w:rsidP="00DB23A6">
      <w:pPr>
        <w:pStyle w:val="ListeParagraf"/>
        <w:numPr>
          <w:ilvl w:val="0"/>
          <w:numId w:val="32"/>
        </w:numPr>
        <w:spacing w:after="160" w:line="276" w:lineRule="auto"/>
        <w:jc w:val="both"/>
      </w:pPr>
      <w:r w:rsidRPr="00BA36EB">
        <w:rPr>
          <w:color w:val="222222"/>
          <w:shd w:val="clear" w:color="auto" w:fill="FFFFFF"/>
        </w:rPr>
        <w:t xml:space="preserve">Piketty, Thomas, Emmanuel </w:t>
      </w:r>
      <w:proofErr w:type="spellStart"/>
      <w:r w:rsidRPr="00BA36EB">
        <w:rPr>
          <w:color w:val="222222"/>
          <w:shd w:val="clear" w:color="auto" w:fill="FFFFFF"/>
        </w:rPr>
        <w:t>Saez</w:t>
      </w:r>
      <w:proofErr w:type="spellEnd"/>
      <w:r w:rsidRPr="00BA36EB">
        <w:rPr>
          <w:color w:val="222222"/>
          <w:shd w:val="clear" w:color="auto" w:fill="FFFFFF"/>
        </w:rPr>
        <w:t xml:space="preserve">, and Gabriel </w:t>
      </w:r>
      <w:proofErr w:type="spellStart"/>
      <w:r w:rsidRPr="00BA36EB">
        <w:rPr>
          <w:color w:val="222222"/>
          <w:shd w:val="clear" w:color="auto" w:fill="FFFFFF"/>
        </w:rPr>
        <w:t>Zucman</w:t>
      </w:r>
      <w:proofErr w:type="spellEnd"/>
      <w:r w:rsidRPr="00BA36EB">
        <w:rPr>
          <w:color w:val="222222"/>
          <w:shd w:val="clear" w:color="auto" w:fill="FFFFFF"/>
        </w:rPr>
        <w:t>. "Simplified Distributional National Accounts." </w:t>
      </w:r>
      <w:r w:rsidRPr="00BA36EB">
        <w:rPr>
          <w:i/>
          <w:iCs/>
          <w:color w:val="222222"/>
          <w:shd w:val="clear" w:color="auto" w:fill="FFFFFF"/>
        </w:rPr>
        <w:t>AEA Papers and Proceedings</w:t>
      </w:r>
      <w:r w:rsidRPr="00BA36EB">
        <w:rPr>
          <w:color w:val="222222"/>
          <w:shd w:val="clear" w:color="auto" w:fill="FFFFFF"/>
        </w:rPr>
        <w:t>. Vol. 109. 2019.</w:t>
      </w:r>
      <w:r w:rsidR="00BA36EB" w:rsidRPr="00DB23A6">
        <w:rPr>
          <w:color w:val="121212"/>
        </w:rPr>
        <w:t xml:space="preserve"> </w:t>
      </w:r>
    </w:p>
    <w:p w14:paraId="6B3E2617" w14:textId="77777777" w:rsidR="00BA36EB" w:rsidRDefault="00BA36EB" w:rsidP="006809D5">
      <w:pPr>
        <w:spacing w:after="160" w:line="276" w:lineRule="auto"/>
        <w:jc w:val="both"/>
      </w:pPr>
      <w:r>
        <w:t xml:space="preserve">Supplementary reading: </w:t>
      </w:r>
    </w:p>
    <w:p w14:paraId="70BAF3D7" w14:textId="77777777" w:rsidR="00DB23A6" w:rsidRPr="00DB23A6" w:rsidRDefault="00DB23A6" w:rsidP="003737E5">
      <w:pPr>
        <w:pStyle w:val="ListeParagraf"/>
        <w:numPr>
          <w:ilvl w:val="0"/>
          <w:numId w:val="32"/>
        </w:numPr>
        <w:spacing w:after="160" w:line="276" w:lineRule="auto"/>
        <w:jc w:val="both"/>
      </w:pPr>
      <w:r w:rsidRPr="00DB23A6">
        <w:rPr>
          <w:color w:val="121212"/>
        </w:rPr>
        <w:t>The Economist. “Egalitarianism: Inequality could be lower than you think”, Nov. 28 (2019)</w:t>
      </w:r>
    </w:p>
    <w:p w14:paraId="4B2C0B2B" w14:textId="4F297844" w:rsidR="00DB23A6" w:rsidRDefault="00DB23A6" w:rsidP="003737E5">
      <w:pPr>
        <w:pStyle w:val="ListeParagraf"/>
        <w:numPr>
          <w:ilvl w:val="0"/>
          <w:numId w:val="32"/>
        </w:numPr>
        <w:spacing w:after="160" w:line="276" w:lineRule="auto"/>
        <w:jc w:val="both"/>
      </w:pPr>
      <w:r w:rsidRPr="00DB23A6">
        <w:rPr>
          <w:color w:val="121212"/>
        </w:rPr>
        <w:t>The Economist. “Measuring the 1%: Economists are rethinking the numbers on inequality”, Nov. 28 (2019)</w:t>
      </w:r>
    </w:p>
    <w:p w14:paraId="1C665D2B" w14:textId="20D6D8CF" w:rsidR="0069398D" w:rsidRPr="00B0735D" w:rsidRDefault="00172402" w:rsidP="006809D5">
      <w:pPr>
        <w:spacing w:after="160" w:line="276" w:lineRule="auto"/>
        <w:jc w:val="both"/>
        <w:rPr>
          <w:b/>
        </w:rPr>
      </w:pPr>
      <w:r w:rsidRPr="00B0735D">
        <w:rPr>
          <w:b/>
        </w:rPr>
        <w:t>Week 3:</w:t>
      </w:r>
      <w:r w:rsidR="0069398D" w:rsidRPr="00B0735D">
        <w:rPr>
          <w:b/>
        </w:rPr>
        <w:t xml:space="preserve"> </w:t>
      </w:r>
      <w:r w:rsidR="0094423A">
        <w:rPr>
          <w:b/>
        </w:rPr>
        <w:t>Declining</w:t>
      </w:r>
      <w:r w:rsidR="00CB02A1" w:rsidRPr="00B0735D">
        <w:rPr>
          <w:b/>
        </w:rPr>
        <w:t xml:space="preserve"> </w:t>
      </w:r>
      <w:r w:rsidR="0069398D" w:rsidRPr="00B0735D">
        <w:rPr>
          <w:b/>
        </w:rPr>
        <w:t>labor share</w:t>
      </w:r>
      <w:r w:rsidR="0094423A">
        <w:rPr>
          <w:b/>
        </w:rPr>
        <w:t xml:space="preserve"> in income</w:t>
      </w:r>
      <w:r w:rsidR="0069398D" w:rsidRPr="00B0735D">
        <w:rPr>
          <w:b/>
        </w:rPr>
        <w:t xml:space="preserve"> </w:t>
      </w:r>
      <w:r w:rsidR="00CB02A1" w:rsidRPr="00B0735D">
        <w:rPr>
          <w:b/>
        </w:rPr>
        <w:t>I</w:t>
      </w:r>
      <w:r w:rsidR="0069398D" w:rsidRPr="00B0735D">
        <w:rPr>
          <w:b/>
        </w:rPr>
        <w:t>: Technology.</w:t>
      </w:r>
    </w:p>
    <w:p w14:paraId="1FDC1A76" w14:textId="04F12585" w:rsidR="00742862" w:rsidRPr="00742862" w:rsidRDefault="00742862" w:rsidP="00742862">
      <w:pPr>
        <w:pStyle w:val="ListeParagraf"/>
        <w:numPr>
          <w:ilvl w:val="0"/>
          <w:numId w:val="34"/>
        </w:numPr>
        <w:spacing w:after="160" w:line="276" w:lineRule="auto"/>
        <w:jc w:val="both"/>
      </w:pPr>
      <w:proofErr w:type="spellStart"/>
      <w:r w:rsidRPr="00B0735D">
        <w:rPr>
          <w:color w:val="222222"/>
          <w:shd w:val="clear" w:color="auto" w:fill="FFFFFF"/>
        </w:rPr>
        <w:t>Karabarbounis</w:t>
      </w:r>
      <w:proofErr w:type="spellEnd"/>
      <w:r w:rsidRPr="00B0735D">
        <w:rPr>
          <w:color w:val="222222"/>
          <w:shd w:val="clear" w:color="auto" w:fill="FFFFFF"/>
        </w:rPr>
        <w:t xml:space="preserve">, </w:t>
      </w:r>
      <w:proofErr w:type="spellStart"/>
      <w:r w:rsidRPr="00B0735D">
        <w:rPr>
          <w:color w:val="222222"/>
          <w:shd w:val="clear" w:color="auto" w:fill="FFFFFF"/>
        </w:rPr>
        <w:t>Loukas</w:t>
      </w:r>
      <w:proofErr w:type="spellEnd"/>
      <w:r w:rsidRPr="00B0735D">
        <w:rPr>
          <w:color w:val="222222"/>
          <w:shd w:val="clear" w:color="auto" w:fill="FFFFFF"/>
        </w:rPr>
        <w:t>, and Brent Neiman. "The global decline of the labor share." </w:t>
      </w:r>
      <w:r w:rsidRPr="00B0735D">
        <w:rPr>
          <w:i/>
          <w:iCs/>
          <w:color w:val="222222"/>
          <w:shd w:val="clear" w:color="auto" w:fill="FFFFFF"/>
        </w:rPr>
        <w:t>The Quarterly journal of economics</w:t>
      </w:r>
      <w:r w:rsidRPr="00B0735D">
        <w:rPr>
          <w:color w:val="222222"/>
          <w:shd w:val="clear" w:color="auto" w:fill="FFFFFF"/>
        </w:rPr>
        <w:t> 129.1 (2014): 61-103.</w:t>
      </w:r>
    </w:p>
    <w:p w14:paraId="75C43154" w14:textId="77777777" w:rsidR="00B0735D" w:rsidRPr="00B0735D" w:rsidRDefault="00B0735D" w:rsidP="006809D5">
      <w:pPr>
        <w:pStyle w:val="ListeParagraf"/>
        <w:numPr>
          <w:ilvl w:val="0"/>
          <w:numId w:val="34"/>
        </w:numPr>
        <w:spacing w:after="160" w:line="276" w:lineRule="auto"/>
        <w:jc w:val="both"/>
      </w:pPr>
      <w:r w:rsidRPr="00B0735D">
        <w:rPr>
          <w:color w:val="222222"/>
          <w:shd w:val="clear" w:color="auto" w:fill="FFFFFF"/>
        </w:rPr>
        <w:t>Lawrence, Robert Z. </w:t>
      </w:r>
      <w:r w:rsidRPr="00B0735D">
        <w:rPr>
          <w:i/>
          <w:iCs/>
          <w:color w:val="222222"/>
          <w:shd w:val="clear" w:color="auto" w:fill="FFFFFF"/>
        </w:rPr>
        <w:t xml:space="preserve">Recent declines in </w:t>
      </w:r>
      <w:proofErr w:type="gramStart"/>
      <w:r w:rsidRPr="00B0735D">
        <w:rPr>
          <w:i/>
          <w:iCs/>
          <w:color w:val="222222"/>
          <w:shd w:val="clear" w:color="auto" w:fill="FFFFFF"/>
        </w:rPr>
        <w:t>labor's</w:t>
      </w:r>
      <w:proofErr w:type="gramEnd"/>
      <w:r w:rsidRPr="00B0735D">
        <w:rPr>
          <w:i/>
          <w:iCs/>
          <w:color w:val="222222"/>
          <w:shd w:val="clear" w:color="auto" w:fill="FFFFFF"/>
        </w:rPr>
        <w:t xml:space="preserve"> share in US income: A preliminary neoclassical account</w:t>
      </w:r>
      <w:r w:rsidRPr="00B0735D">
        <w:rPr>
          <w:color w:val="222222"/>
          <w:shd w:val="clear" w:color="auto" w:fill="FFFFFF"/>
        </w:rPr>
        <w:t>. No. w21296. National Bureau of Economic Research, 2015.</w:t>
      </w:r>
    </w:p>
    <w:p w14:paraId="1BBF2FBD" w14:textId="696FB24E" w:rsidR="0069398D" w:rsidRPr="00B0735D" w:rsidRDefault="0069398D" w:rsidP="006809D5">
      <w:pPr>
        <w:spacing w:after="160" w:line="276" w:lineRule="auto"/>
        <w:jc w:val="both"/>
        <w:rPr>
          <w:b/>
        </w:rPr>
      </w:pPr>
      <w:r w:rsidRPr="00B0735D">
        <w:rPr>
          <w:b/>
        </w:rPr>
        <w:t xml:space="preserve">Week </w:t>
      </w:r>
      <w:r w:rsidR="00172402" w:rsidRPr="00B0735D">
        <w:rPr>
          <w:b/>
        </w:rPr>
        <w:t>4</w:t>
      </w:r>
      <w:r w:rsidRPr="00B0735D">
        <w:rPr>
          <w:b/>
        </w:rPr>
        <w:t xml:space="preserve">: </w:t>
      </w:r>
      <w:r w:rsidR="0094423A">
        <w:rPr>
          <w:b/>
        </w:rPr>
        <w:t>Declining</w:t>
      </w:r>
      <w:r w:rsidR="0094423A" w:rsidRPr="00B0735D">
        <w:rPr>
          <w:b/>
        </w:rPr>
        <w:t xml:space="preserve"> </w:t>
      </w:r>
      <w:r w:rsidR="00CB02A1" w:rsidRPr="00B0735D">
        <w:rPr>
          <w:b/>
        </w:rPr>
        <w:t>labor share</w:t>
      </w:r>
      <w:r w:rsidR="0094423A">
        <w:rPr>
          <w:b/>
        </w:rPr>
        <w:t xml:space="preserve"> in income</w:t>
      </w:r>
      <w:r w:rsidR="00CB02A1" w:rsidRPr="00B0735D">
        <w:rPr>
          <w:b/>
        </w:rPr>
        <w:t xml:space="preserve"> II</w:t>
      </w:r>
      <w:r w:rsidRPr="00B0735D">
        <w:rPr>
          <w:b/>
        </w:rPr>
        <w:t>: Monopolization.</w:t>
      </w:r>
    </w:p>
    <w:p w14:paraId="304C4FA7" w14:textId="3AC59450" w:rsidR="00B0735D" w:rsidRPr="00B0735D" w:rsidRDefault="00B0735D" w:rsidP="006809D5">
      <w:pPr>
        <w:pStyle w:val="ListeParagraf"/>
        <w:numPr>
          <w:ilvl w:val="0"/>
          <w:numId w:val="35"/>
        </w:numPr>
        <w:spacing w:after="160" w:line="276" w:lineRule="auto"/>
        <w:jc w:val="both"/>
      </w:pPr>
      <w:proofErr w:type="spellStart"/>
      <w:r w:rsidRPr="00B0735D">
        <w:rPr>
          <w:color w:val="222222"/>
          <w:shd w:val="clear" w:color="auto" w:fill="FFFFFF"/>
        </w:rPr>
        <w:t>Barkai</w:t>
      </w:r>
      <w:proofErr w:type="spellEnd"/>
      <w:r w:rsidRPr="00B0735D">
        <w:rPr>
          <w:color w:val="222222"/>
          <w:shd w:val="clear" w:color="auto" w:fill="FFFFFF"/>
        </w:rPr>
        <w:t xml:space="preserve">, </w:t>
      </w:r>
      <w:proofErr w:type="spellStart"/>
      <w:r w:rsidRPr="00B0735D">
        <w:rPr>
          <w:color w:val="222222"/>
          <w:shd w:val="clear" w:color="auto" w:fill="FFFFFF"/>
        </w:rPr>
        <w:t>Simcha</w:t>
      </w:r>
      <w:proofErr w:type="spellEnd"/>
      <w:r w:rsidRPr="00B0735D">
        <w:rPr>
          <w:color w:val="222222"/>
          <w:shd w:val="clear" w:color="auto" w:fill="FFFFFF"/>
        </w:rPr>
        <w:t>. "Declining labor and capital shares." </w:t>
      </w:r>
      <w:r w:rsidRPr="00B0735D">
        <w:rPr>
          <w:i/>
          <w:iCs/>
          <w:color w:val="222222"/>
          <w:shd w:val="clear" w:color="auto" w:fill="FFFFFF"/>
        </w:rPr>
        <w:t>Journal of Finance, Forthcoming</w:t>
      </w:r>
      <w:r w:rsidRPr="00B0735D">
        <w:rPr>
          <w:color w:val="222222"/>
          <w:shd w:val="clear" w:color="auto" w:fill="FFFFFF"/>
        </w:rPr>
        <w:t> (2019).</w:t>
      </w:r>
    </w:p>
    <w:p w14:paraId="2E24299E" w14:textId="2DF522FF" w:rsidR="00B0735D" w:rsidRPr="00B0735D" w:rsidRDefault="00B0735D" w:rsidP="006809D5">
      <w:pPr>
        <w:pStyle w:val="ListeParagraf"/>
        <w:numPr>
          <w:ilvl w:val="0"/>
          <w:numId w:val="35"/>
        </w:numPr>
        <w:spacing w:after="160" w:line="276" w:lineRule="auto"/>
        <w:jc w:val="both"/>
      </w:pPr>
      <w:r w:rsidRPr="00B0735D">
        <w:rPr>
          <w:color w:val="222222"/>
          <w:shd w:val="clear" w:color="auto" w:fill="FFFFFF"/>
        </w:rPr>
        <w:t xml:space="preserve">De </w:t>
      </w:r>
      <w:proofErr w:type="spellStart"/>
      <w:r w:rsidRPr="00B0735D">
        <w:rPr>
          <w:color w:val="222222"/>
          <w:shd w:val="clear" w:color="auto" w:fill="FFFFFF"/>
        </w:rPr>
        <w:t>Loecker</w:t>
      </w:r>
      <w:proofErr w:type="spellEnd"/>
      <w:r w:rsidRPr="00B0735D">
        <w:rPr>
          <w:color w:val="222222"/>
          <w:shd w:val="clear" w:color="auto" w:fill="FFFFFF"/>
        </w:rPr>
        <w:t xml:space="preserve">, Jan, Jan </w:t>
      </w:r>
      <w:proofErr w:type="spellStart"/>
      <w:r w:rsidRPr="00B0735D">
        <w:rPr>
          <w:color w:val="222222"/>
          <w:shd w:val="clear" w:color="auto" w:fill="FFFFFF"/>
        </w:rPr>
        <w:t>Eeckhout</w:t>
      </w:r>
      <w:proofErr w:type="spellEnd"/>
      <w:r w:rsidRPr="00B0735D">
        <w:rPr>
          <w:color w:val="222222"/>
          <w:shd w:val="clear" w:color="auto" w:fill="FFFFFF"/>
        </w:rPr>
        <w:t>, and Gabriel Unger. "The rise of market power and the macroeconomic implications." </w:t>
      </w:r>
      <w:r w:rsidRPr="00B0735D">
        <w:rPr>
          <w:i/>
          <w:iCs/>
          <w:color w:val="222222"/>
          <w:shd w:val="clear" w:color="auto" w:fill="FFFFFF"/>
        </w:rPr>
        <w:t>The Quarterly Journal of Economics</w:t>
      </w:r>
      <w:r w:rsidRPr="00B0735D">
        <w:rPr>
          <w:color w:val="222222"/>
          <w:shd w:val="clear" w:color="auto" w:fill="FFFFFF"/>
        </w:rPr>
        <w:t> (2020).</w:t>
      </w:r>
    </w:p>
    <w:p w14:paraId="393E1D9E" w14:textId="3198CEE4" w:rsidR="00B0735D" w:rsidRPr="00B0735D" w:rsidRDefault="00B0735D" w:rsidP="006809D5">
      <w:pPr>
        <w:pStyle w:val="ListeParagraf"/>
        <w:numPr>
          <w:ilvl w:val="0"/>
          <w:numId w:val="35"/>
        </w:numPr>
        <w:spacing w:after="160" w:line="276" w:lineRule="auto"/>
        <w:jc w:val="both"/>
      </w:pPr>
      <w:r w:rsidRPr="00B0735D">
        <w:rPr>
          <w:color w:val="222222"/>
          <w:shd w:val="clear" w:color="auto" w:fill="FFFFFF"/>
        </w:rPr>
        <w:t xml:space="preserve">Dorn, David, et al. "Concentrating on the </w:t>
      </w:r>
      <w:proofErr w:type="gramStart"/>
      <w:r w:rsidRPr="00B0735D">
        <w:rPr>
          <w:color w:val="222222"/>
          <w:shd w:val="clear" w:color="auto" w:fill="FFFFFF"/>
        </w:rPr>
        <w:t>Fall</w:t>
      </w:r>
      <w:proofErr w:type="gramEnd"/>
      <w:r w:rsidRPr="00B0735D">
        <w:rPr>
          <w:color w:val="222222"/>
          <w:shd w:val="clear" w:color="auto" w:fill="FFFFFF"/>
        </w:rPr>
        <w:t xml:space="preserve"> of the Labor Share." </w:t>
      </w:r>
      <w:r w:rsidRPr="00B0735D">
        <w:rPr>
          <w:i/>
          <w:iCs/>
          <w:color w:val="222222"/>
          <w:shd w:val="clear" w:color="auto" w:fill="FFFFFF"/>
        </w:rPr>
        <w:t>American Economic Review</w:t>
      </w:r>
      <w:r w:rsidRPr="00B0735D">
        <w:rPr>
          <w:color w:val="222222"/>
          <w:shd w:val="clear" w:color="auto" w:fill="FFFFFF"/>
        </w:rPr>
        <w:t> 107.5 (2017): 180-85.</w:t>
      </w:r>
    </w:p>
    <w:p w14:paraId="140D8A6A" w14:textId="395C6AA0" w:rsidR="0069398D" w:rsidRPr="00B0735D" w:rsidRDefault="0069398D" w:rsidP="006809D5">
      <w:pPr>
        <w:spacing w:after="160" w:line="276" w:lineRule="auto"/>
        <w:jc w:val="both"/>
        <w:rPr>
          <w:b/>
        </w:rPr>
      </w:pPr>
      <w:r w:rsidRPr="00B0735D">
        <w:rPr>
          <w:b/>
        </w:rPr>
        <w:t xml:space="preserve">Week </w:t>
      </w:r>
      <w:r w:rsidR="00172402" w:rsidRPr="00B0735D">
        <w:rPr>
          <w:b/>
        </w:rPr>
        <w:t>5</w:t>
      </w:r>
      <w:r w:rsidRPr="00B0735D">
        <w:rPr>
          <w:b/>
        </w:rPr>
        <w:t xml:space="preserve">: </w:t>
      </w:r>
      <w:r w:rsidR="00172402" w:rsidRPr="00B0735D">
        <w:rPr>
          <w:b/>
        </w:rPr>
        <w:t>Wages and skills: Inequality among 99%.</w:t>
      </w:r>
    </w:p>
    <w:p w14:paraId="4B2DD3AF" w14:textId="740F9468" w:rsidR="00295742" w:rsidRPr="00295742" w:rsidRDefault="00295742" w:rsidP="006809D5">
      <w:pPr>
        <w:pStyle w:val="ListeParagraf"/>
        <w:numPr>
          <w:ilvl w:val="0"/>
          <w:numId w:val="36"/>
        </w:numPr>
        <w:tabs>
          <w:tab w:val="left" w:pos="2520"/>
        </w:tabs>
        <w:spacing w:line="276" w:lineRule="auto"/>
        <w:jc w:val="both"/>
        <w:outlineLvl w:val="0"/>
        <w:rPr>
          <w:shd w:val="clear" w:color="auto" w:fill="FFFFFF"/>
        </w:rPr>
      </w:pPr>
      <w:proofErr w:type="spellStart"/>
      <w:r w:rsidRPr="00295742">
        <w:rPr>
          <w:color w:val="222222"/>
          <w:shd w:val="clear" w:color="auto" w:fill="FFFFFF"/>
        </w:rPr>
        <w:t>Acemoglu</w:t>
      </w:r>
      <w:proofErr w:type="spellEnd"/>
      <w:r w:rsidRPr="00295742">
        <w:rPr>
          <w:color w:val="222222"/>
          <w:shd w:val="clear" w:color="auto" w:fill="FFFFFF"/>
        </w:rPr>
        <w:t>, Daron. "Technical change, inequality, and the labor market." </w:t>
      </w:r>
      <w:r w:rsidRPr="00295742">
        <w:rPr>
          <w:i/>
          <w:iCs/>
          <w:color w:val="222222"/>
          <w:shd w:val="clear" w:color="auto" w:fill="FFFFFF"/>
        </w:rPr>
        <w:t>Journal of economic literature</w:t>
      </w:r>
      <w:r w:rsidRPr="00295742">
        <w:rPr>
          <w:color w:val="222222"/>
          <w:shd w:val="clear" w:color="auto" w:fill="FFFFFF"/>
        </w:rPr>
        <w:t> 40.1 (2002): 7-72.</w:t>
      </w:r>
    </w:p>
    <w:p w14:paraId="3337B5B3" w14:textId="77777777" w:rsidR="00B0735D" w:rsidRPr="003D7818" w:rsidRDefault="00B0735D" w:rsidP="006809D5">
      <w:pPr>
        <w:pStyle w:val="ListeParagraf"/>
        <w:numPr>
          <w:ilvl w:val="0"/>
          <w:numId w:val="36"/>
        </w:numPr>
        <w:tabs>
          <w:tab w:val="left" w:pos="2520"/>
        </w:tabs>
        <w:spacing w:line="276" w:lineRule="auto"/>
        <w:jc w:val="both"/>
        <w:outlineLvl w:val="0"/>
        <w:rPr>
          <w:shd w:val="clear" w:color="auto" w:fill="FFFFFF"/>
        </w:rPr>
      </w:pPr>
      <w:r w:rsidRPr="003D7818">
        <w:rPr>
          <w:shd w:val="clear" w:color="auto" w:fill="FFFFFF"/>
        </w:rPr>
        <w:t>David, H. "Skills, education, and the rise of earnings inequality among the “other 99 percent”." </w:t>
      </w:r>
      <w:r w:rsidRPr="003D7818">
        <w:rPr>
          <w:i/>
          <w:iCs/>
          <w:shd w:val="clear" w:color="auto" w:fill="FFFFFF"/>
        </w:rPr>
        <w:t>Science</w:t>
      </w:r>
      <w:r w:rsidRPr="003D7818">
        <w:rPr>
          <w:shd w:val="clear" w:color="auto" w:fill="FFFFFF"/>
        </w:rPr>
        <w:t> 344.6186 (2014): 843-851.</w:t>
      </w:r>
    </w:p>
    <w:p w14:paraId="7B425D14" w14:textId="77777777" w:rsidR="00B0735D" w:rsidRPr="003D7818" w:rsidRDefault="00B0735D" w:rsidP="006809D5">
      <w:pPr>
        <w:tabs>
          <w:tab w:val="left" w:pos="2760"/>
          <w:tab w:val="left" w:pos="3270"/>
        </w:tabs>
        <w:spacing w:line="276" w:lineRule="auto"/>
        <w:jc w:val="both"/>
      </w:pPr>
      <w:r w:rsidRPr="003D7818">
        <w:lastRenderedPageBreak/>
        <w:t xml:space="preserve">Supplementary reading: </w:t>
      </w:r>
      <w:r w:rsidRPr="003D7818">
        <w:tab/>
      </w:r>
      <w:r w:rsidRPr="003D7818">
        <w:tab/>
      </w:r>
    </w:p>
    <w:p w14:paraId="573595F0" w14:textId="475F135B" w:rsidR="00DD4E8A" w:rsidRPr="00DD4E8A" w:rsidRDefault="00B0735D" w:rsidP="00DD4E8A">
      <w:pPr>
        <w:pStyle w:val="ListeParagraf"/>
        <w:numPr>
          <w:ilvl w:val="0"/>
          <w:numId w:val="37"/>
        </w:numPr>
        <w:tabs>
          <w:tab w:val="left" w:pos="2520"/>
        </w:tabs>
        <w:spacing w:line="276" w:lineRule="auto"/>
        <w:jc w:val="both"/>
        <w:outlineLvl w:val="0"/>
        <w:rPr>
          <w:shd w:val="clear" w:color="auto" w:fill="FFFFFF"/>
        </w:rPr>
      </w:pPr>
      <w:r w:rsidRPr="003D7818">
        <w:rPr>
          <w:shd w:val="clear" w:color="auto" w:fill="FFFFFF"/>
        </w:rPr>
        <w:t>Goldin, Claudia Dale, and Lawrence F. Katz. </w:t>
      </w:r>
      <w:r w:rsidRPr="003D7818">
        <w:rPr>
          <w:i/>
          <w:iCs/>
          <w:shd w:val="clear" w:color="auto" w:fill="FFFFFF"/>
        </w:rPr>
        <w:t>The race between education and technology</w:t>
      </w:r>
      <w:r w:rsidRPr="003D7818">
        <w:rPr>
          <w:shd w:val="clear" w:color="auto" w:fill="FFFFFF"/>
        </w:rPr>
        <w:t>. Harvard University Press, 2009</w:t>
      </w:r>
    </w:p>
    <w:p w14:paraId="10B32923" w14:textId="77777777" w:rsidR="00B0735D" w:rsidRPr="00B0735D" w:rsidRDefault="00B0735D" w:rsidP="006809D5">
      <w:pPr>
        <w:tabs>
          <w:tab w:val="left" w:pos="2520"/>
        </w:tabs>
        <w:spacing w:line="276" w:lineRule="auto"/>
        <w:ind w:left="360"/>
        <w:jc w:val="both"/>
        <w:outlineLvl w:val="0"/>
        <w:rPr>
          <w:shd w:val="clear" w:color="auto" w:fill="FFFFFF"/>
        </w:rPr>
      </w:pPr>
    </w:p>
    <w:p w14:paraId="49F1A50A" w14:textId="673D81C8" w:rsidR="0069398D" w:rsidRPr="00064D4A" w:rsidRDefault="0069398D" w:rsidP="006809D5">
      <w:pPr>
        <w:spacing w:after="160" w:line="276" w:lineRule="auto"/>
        <w:jc w:val="both"/>
        <w:rPr>
          <w:b/>
          <w:bCs/>
          <w:color w:val="000000"/>
        </w:rPr>
      </w:pPr>
      <w:r w:rsidRPr="00064D4A">
        <w:rPr>
          <w:b/>
          <w:bCs/>
          <w:color w:val="000000"/>
        </w:rPr>
        <w:t xml:space="preserve">Week </w:t>
      </w:r>
      <w:r w:rsidR="00DD4E8A">
        <w:rPr>
          <w:b/>
          <w:bCs/>
          <w:color w:val="000000"/>
        </w:rPr>
        <w:t>6</w:t>
      </w:r>
      <w:r w:rsidRPr="00064D4A">
        <w:rPr>
          <w:b/>
          <w:bCs/>
          <w:color w:val="000000"/>
        </w:rPr>
        <w:t>: Distributive justice</w:t>
      </w:r>
      <w:r w:rsidR="00BB2000" w:rsidRPr="00064D4A">
        <w:rPr>
          <w:b/>
          <w:bCs/>
          <w:color w:val="000000"/>
        </w:rPr>
        <w:t>.</w:t>
      </w:r>
    </w:p>
    <w:p w14:paraId="552C35A9" w14:textId="0CBE505B" w:rsidR="00064D4A" w:rsidRPr="00064D4A" w:rsidRDefault="00064D4A" w:rsidP="006809D5">
      <w:pPr>
        <w:pStyle w:val="ListeParagraf"/>
        <w:numPr>
          <w:ilvl w:val="0"/>
          <w:numId w:val="39"/>
        </w:numPr>
        <w:spacing w:after="160" w:line="276" w:lineRule="auto"/>
        <w:jc w:val="both"/>
        <w:rPr>
          <w:bCs/>
          <w:color w:val="000000"/>
        </w:rPr>
      </w:pPr>
      <w:r w:rsidRPr="00064D4A">
        <w:rPr>
          <w:color w:val="222222"/>
          <w:shd w:val="clear" w:color="auto" w:fill="FFFFFF"/>
        </w:rPr>
        <w:t>Chapter 9 in Pinker, Steven. </w:t>
      </w:r>
      <w:r w:rsidRPr="00064D4A">
        <w:rPr>
          <w:i/>
          <w:iCs/>
          <w:color w:val="222222"/>
          <w:shd w:val="clear" w:color="auto" w:fill="FFFFFF"/>
        </w:rPr>
        <w:t>Enlightenment now: The case for reason, science, humanism, and progress</w:t>
      </w:r>
      <w:r w:rsidRPr="00064D4A">
        <w:rPr>
          <w:color w:val="222222"/>
          <w:shd w:val="clear" w:color="auto" w:fill="FFFFFF"/>
        </w:rPr>
        <w:t>. Penguin, 2018.</w:t>
      </w:r>
    </w:p>
    <w:p w14:paraId="74F92ACC" w14:textId="53F8829F" w:rsidR="00DD4E8A" w:rsidRPr="00DD4E8A" w:rsidRDefault="00064D4A" w:rsidP="00DD4E8A">
      <w:pPr>
        <w:pStyle w:val="ListeParagraf"/>
        <w:numPr>
          <w:ilvl w:val="0"/>
          <w:numId w:val="39"/>
        </w:numPr>
        <w:spacing w:after="160" w:line="276" w:lineRule="auto"/>
        <w:jc w:val="both"/>
        <w:rPr>
          <w:bCs/>
          <w:color w:val="000000"/>
        </w:rPr>
      </w:pPr>
      <w:r w:rsidRPr="00064D4A">
        <w:rPr>
          <w:bCs/>
          <w:color w:val="000000"/>
        </w:rPr>
        <w:t xml:space="preserve">Chapter 4 in </w:t>
      </w:r>
      <w:r w:rsidRPr="00064D4A">
        <w:rPr>
          <w:color w:val="222222"/>
          <w:shd w:val="clear" w:color="auto" w:fill="FFFFFF"/>
        </w:rPr>
        <w:t>Stiglitz, Joseph E. </w:t>
      </w:r>
      <w:r w:rsidRPr="00064D4A">
        <w:rPr>
          <w:i/>
          <w:iCs/>
          <w:color w:val="222222"/>
          <w:shd w:val="clear" w:color="auto" w:fill="FFFFFF"/>
        </w:rPr>
        <w:t>The price of inequality: How today's divided society endangers our future</w:t>
      </w:r>
      <w:r w:rsidRPr="00064D4A">
        <w:rPr>
          <w:color w:val="222222"/>
          <w:shd w:val="clear" w:color="auto" w:fill="FFFFFF"/>
        </w:rPr>
        <w:t>. WW Norton &amp; Company, 2012.</w:t>
      </w:r>
    </w:p>
    <w:p w14:paraId="0F5CC6B7" w14:textId="370A7435" w:rsidR="00DD4E8A" w:rsidRPr="00DD4E8A" w:rsidRDefault="00DD4E8A" w:rsidP="00DD4E8A">
      <w:pPr>
        <w:spacing w:after="160" w:line="276" w:lineRule="auto"/>
        <w:jc w:val="both"/>
        <w:rPr>
          <w:b/>
          <w:bCs/>
          <w:color w:val="000000"/>
        </w:rPr>
      </w:pPr>
      <w:r w:rsidRPr="00DD4E8A">
        <w:rPr>
          <w:b/>
          <w:bCs/>
          <w:color w:val="000000"/>
        </w:rPr>
        <w:t xml:space="preserve">Week </w:t>
      </w:r>
      <w:r>
        <w:rPr>
          <w:b/>
          <w:bCs/>
          <w:color w:val="000000"/>
        </w:rPr>
        <w:t>7</w:t>
      </w:r>
      <w:r w:rsidRPr="00DD4E8A">
        <w:rPr>
          <w:b/>
          <w:bCs/>
          <w:color w:val="000000"/>
        </w:rPr>
        <w:t>: Fake Exam</w:t>
      </w:r>
    </w:p>
    <w:p w14:paraId="03E6AE65" w14:textId="47AD3F5F" w:rsidR="00DD4E8A" w:rsidRPr="00DD4E8A" w:rsidRDefault="00DD4E8A" w:rsidP="00DD4E8A">
      <w:pPr>
        <w:spacing w:after="160" w:line="276" w:lineRule="auto"/>
        <w:jc w:val="both"/>
        <w:rPr>
          <w:b/>
          <w:bCs/>
          <w:color w:val="000000"/>
        </w:rPr>
      </w:pPr>
      <w:r w:rsidRPr="00DD4E8A">
        <w:rPr>
          <w:b/>
          <w:bCs/>
          <w:color w:val="000000"/>
        </w:rPr>
        <w:t xml:space="preserve">Week </w:t>
      </w:r>
      <w:r>
        <w:rPr>
          <w:b/>
          <w:bCs/>
          <w:color w:val="000000"/>
        </w:rPr>
        <w:t>8</w:t>
      </w:r>
      <w:r w:rsidRPr="00DD4E8A">
        <w:rPr>
          <w:b/>
          <w:bCs/>
          <w:color w:val="000000"/>
        </w:rPr>
        <w:t xml:space="preserve">: </w:t>
      </w:r>
      <w:r>
        <w:rPr>
          <w:b/>
          <w:bCs/>
          <w:color w:val="000000"/>
        </w:rPr>
        <w:t xml:space="preserve">Midterm </w:t>
      </w:r>
      <w:r w:rsidRPr="00DD4E8A">
        <w:rPr>
          <w:b/>
          <w:bCs/>
          <w:color w:val="000000"/>
        </w:rPr>
        <w:t>Exam</w:t>
      </w:r>
    </w:p>
    <w:p w14:paraId="58519F8F" w14:textId="4F64B7C9" w:rsidR="00055472" w:rsidRDefault="00055472" w:rsidP="00055472">
      <w:pPr>
        <w:spacing w:after="160" w:line="276" w:lineRule="auto"/>
        <w:jc w:val="both"/>
        <w:rPr>
          <w:b/>
          <w:bCs/>
          <w:color w:val="000000"/>
        </w:rPr>
      </w:pPr>
      <w:r w:rsidRPr="00B0735D">
        <w:rPr>
          <w:b/>
          <w:bCs/>
          <w:color w:val="000000"/>
        </w:rPr>
        <w:t xml:space="preserve">Week </w:t>
      </w:r>
      <w:r w:rsidR="00DD4E8A">
        <w:rPr>
          <w:b/>
          <w:bCs/>
          <w:color w:val="000000"/>
        </w:rPr>
        <w:t>9</w:t>
      </w:r>
      <w:r w:rsidRPr="00B0735D">
        <w:rPr>
          <w:b/>
          <w:bCs/>
          <w:color w:val="000000"/>
        </w:rPr>
        <w:t>: Intergenerational mobility.</w:t>
      </w:r>
    </w:p>
    <w:p w14:paraId="4E6322D7" w14:textId="77777777" w:rsidR="00055472" w:rsidRPr="00E06209" w:rsidRDefault="00055472" w:rsidP="00055472">
      <w:pPr>
        <w:pStyle w:val="ListeParagraf"/>
        <w:numPr>
          <w:ilvl w:val="0"/>
          <w:numId w:val="37"/>
        </w:numPr>
        <w:spacing w:after="160" w:line="276" w:lineRule="auto"/>
        <w:jc w:val="both"/>
        <w:rPr>
          <w:b/>
        </w:rPr>
      </w:pPr>
      <w:proofErr w:type="spellStart"/>
      <w:r w:rsidRPr="00B0735D">
        <w:rPr>
          <w:color w:val="222222"/>
          <w:shd w:val="clear" w:color="auto" w:fill="FFFFFF"/>
        </w:rPr>
        <w:t>Corak</w:t>
      </w:r>
      <w:proofErr w:type="spellEnd"/>
      <w:r w:rsidRPr="00B0735D">
        <w:rPr>
          <w:color w:val="222222"/>
          <w:shd w:val="clear" w:color="auto" w:fill="FFFFFF"/>
        </w:rPr>
        <w:t>, Miles. "Income inequality, equality of opportunity, and intergenerational mobility." </w:t>
      </w:r>
      <w:r w:rsidRPr="00B0735D">
        <w:rPr>
          <w:i/>
          <w:iCs/>
          <w:color w:val="222222"/>
          <w:shd w:val="clear" w:color="auto" w:fill="FFFFFF"/>
        </w:rPr>
        <w:t>Journal of Economic Perspectives</w:t>
      </w:r>
      <w:r w:rsidRPr="00B0735D">
        <w:rPr>
          <w:color w:val="222222"/>
          <w:shd w:val="clear" w:color="auto" w:fill="FFFFFF"/>
        </w:rPr>
        <w:t> 27.3 (2013): 79-102.</w:t>
      </w:r>
    </w:p>
    <w:p w14:paraId="555FD3EA" w14:textId="745944C8" w:rsidR="00055472" w:rsidRPr="00055472" w:rsidRDefault="00055472" w:rsidP="00055472">
      <w:pPr>
        <w:pStyle w:val="ListeParagraf"/>
        <w:numPr>
          <w:ilvl w:val="0"/>
          <w:numId w:val="37"/>
        </w:numPr>
        <w:spacing w:after="160" w:line="276" w:lineRule="auto"/>
        <w:jc w:val="both"/>
        <w:rPr>
          <w:b/>
        </w:rPr>
      </w:pPr>
      <w:r w:rsidRPr="00E06209">
        <w:rPr>
          <w:color w:val="222222"/>
          <w:shd w:val="clear" w:color="auto" w:fill="FFFFFF"/>
        </w:rPr>
        <w:t xml:space="preserve">Roemer, John E., and Alain </w:t>
      </w:r>
      <w:proofErr w:type="spellStart"/>
      <w:r w:rsidRPr="00E06209">
        <w:rPr>
          <w:color w:val="222222"/>
          <w:shd w:val="clear" w:color="auto" w:fill="FFFFFF"/>
        </w:rPr>
        <w:t>Trannoy</w:t>
      </w:r>
      <w:proofErr w:type="spellEnd"/>
      <w:r w:rsidRPr="00E06209">
        <w:rPr>
          <w:color w:val="222222"/>
          <w:shd w:val="clear" w:color="auto" w:fill="FFFFFF"/>
        </w:rPr>
        <w:t>. "Equality of opportunity: Theory and measurement." </w:t>
      </w:r>
      <w:r w:rsidRPr="00E06209">
        <w:rPr>
          <w:i/>
          <w:iCs/>
          <w:color w:val="222222"/>
          <w:shd w:val="clear" w:color="auto" w:fill="FFFFFF"/>
        </w:rPr>
        <w:t>Journal of Economic Literature</w:t>
      </w:r>
      <w:r w:rsidRPr="00E06209">
        <w:rPr>
          <w:color w:val="222222"/>
          <w:shd w:val="clear" w:color="auto" w:fill="FFFFFF"/>
        </w:rPr>
        <w:t> 54.4 (2016): 1288-1332.</w:t>
      </w:r>
    </w:p>
    <w:p w14:paraId="489E7A91" w14:textId="16E4F849" w:rsidR="00055472" w:rsidRDefault="00055472" w:rsidP="00055472">
      <w:pPr>
        <w:spacing w:line="276" w:lineRule="auto"/>
        <w:rPr>
          <w:b/>
          <w:bCs/>
          <w:noProof/>
          <w:color w:val="000000"/>
        </w:rPr>
      </w:pPr>
      <w:r w:rsidRPr="006175BC">
        <w:rPr>
          <w:b/>
          <w:bCs/>
          <w:color w:val="000000"/>
        </w:rPr>
        <w:t xml:space="preserve">Week </w:t>
      </w:r>
      <w:r w:rsidR="00DD4E8A">
        <w:rPr>
          <w:b/>
          <w:bCs/>
          <w:color w:val="000000"/>
        </w:rPr>
        <w:t>10</w:t>
      </w:r>
      <w:r w:rsidRPr="006175BC">
        <w:rPr>
          <w:b/>
          <w:bCs/>
          <w:color w:val="000000"/>
        </w:rPr>
        <w:t xml:space="preserve">: Inequality and </w:t>
      </w:r>
      <w:r>
        <w:rPr>
          <w:b/>
          <w:bCs/>
          <w:color w:val="000000"/>
        </w:rPr>
        <w:t>f</w:t>
      </w:r>
      <w:r w:rsidRPr="006175BC">
        <w:rPr>
          <w:b/>
          <w:bCs/>
          <w:color w:val="000000"/>
        </w:rPr>
        <w:t>inancial markets.</w:t>
      </w:r>
    </w:p>
    <w:p w14:paraId="02D0ED1D" w14:textId="77777777" w:rsidR="00055472" w:rsidRPr="0068757D" w:rsidRDefault="00055472" w:rsidP="00055472">
      <w:pPr>
        <w:pStyle w:val="ListeParagraf"/>
        <w:numPr>
          <w:ilvl w:val="0"/>
          <w:numId w:val="35"/>
        </w:numPr>
        <w:spacing w:line="276" w:lineRule="auto"/>
        <w:rPr>
          <w:b/>
          <w:bCs/>
          <w:noProof/>
          <w:color w:val="000000"/>
        </w:rPr>
      </w:pPr>
      <w:r w:rsidRPr="0068757D">
        <w:rPr>
          <w:color w:val="222222"/>
          <w:shd w:val="clear" w:color="auto" w:fill="FFFFFF"/>
        </w:rPr>
        <w:t>Stiglitz, Joseph E. "A rigged economy." </w:t>
      </w:r>
      <w:r w:rsidRPr="0068757D">
        <w:rPr>
          <w:i/>
          <w:iCs/>
          <w:color w:val="222222"/>
          <w:shd w:val="clear" w:color="auto" w:fill="FFFFFF"/>
        </w:rPr>
        <w:t>Scientific American</w:t>
      </w:r>
      <w:r w:rsidRPr="0068757D">
        <w:rPr>
          <w:color w:val="222222"/>
          <w:shd w:val="clear" w:color="auto" w:fill="FFFFFF"/>
        </w:rPr>
        <w:t> 319.5 (2018): 56-61.</w:t>
      </w:r>
    </w:p>
    <w:p w14:paraId="24251C3F" w14:textId="77777777" w:rsidR="00055472" w:rsidRPr="0068757D" w:rsidRDefault="00055472" w:rsidP="00055472">
      <w:pPr>
        <w:pStyle w:val="ListeParagraf"/>
        <w:numPr>
          <w:ilvl w:val="0"/>
          <w:numId w:val="38"/>
        </w:numPr>
        <w:spacing w:line="276" w:lineRule="auto"/>
        <w:rPr>
          <w:b/>
          <w:bCs/>
          <w:noProof/>
          <w:color w:val="000000"/>
        </w:rPr>
      </w:pPr>
      <w:r w:rsidRPr="0068757D">
        <w:rPr>
          <w:color w:val="222222"/>
          <w:shd w:val="clear" w:color="auto" w:fill="FFFFFF"/>
        </w:rPr>
        <w:t>Stiglitz, Joseph E. "Fed policy, inequality, and equality of opportunity." (2016): 77-94.</w:t>
      </w:r>
    </w:p>
    <w:p w14:paraId="3EB964E5" w14:textId="77777777" w:rsidR="00055472" w:rsidRPr="0068757D" w:rsidRDefault="00055472" w:rsidP="00055472">
      <w:pPr>
        <w:spacing w:line="276" w:lineRule="auto"/>
        <w:rPr>
          <w:b/>
          <w:bCs/>
          <w:noProof/>
          <w:color w:val="000000"/>
        </w:rPr>
      </w:pPr>
    </w:p>
    <w:p w14:paraId="69608506" w14:textId="00A94505" w:rsidR="00055472" w:rsidRPr="0068757D" w:rsidRDefault="00055472" w:rsidP="00055472">
      <w:pPr>
        <w:spacing w:after="160" w:line="276" w:lineRule="auto"/>
        <w:jc w:val="both"/>
        <w:rPr>
          <w:b/>
          <w:bCs/>
          <w:color w:val="000000"/>
        </w:rPr>
      </w:pPr>
      <w:r w:rsidRPr="0068757D">
        <w:rPr>
          <w:b/>
        </w:rPr>
        <w:t xml:space="preserve">Week </w:t>
      </w:r>
      <w:r w:rsidR="00DD4E8A">
        <w:rPr>
          <w:b/>
        </w:rPr>
        <w:t>11</w:t>
      </w:r>
      <w:r w:rsidRPr="0068757D">
        <w:rPr>
          <w:b/>
        </w:rPr>
        <w:t xml:space="preserve">: </w:t>
      </w:r>
      <w:r w:rsidRPr="0068757D">
        <w:rPr>
          <w:b/>
          <w:bCs/>
          <w:color w:val="000000"/>
        </w:rPr>
        <w:t>Inequality and economic growth.</w:t>
      </w:r>
    </w:p>
    <w:p w14:paraId="36DC1D3C" w14:textId="77777777" w:rsidR="00055472" w:rsidRPr="0068757D" w:rsidRDefault="00055472" w:rsidP="00055472">
      <w:pPr>
        <w:pStyle w:val="ListeParagraf"/>
        <w:numPr>
          <w:ilvl w:val="0"/>
          <w:numId w:val="38"/>
        </w:numPr>
        <w:spacing w:after="160" w:line="276" w:lineRule="auto"/>
        <w:jc w:val="both"/>
        <w:rPr>
          <w:bCs/>
          <w:color w:val="000000"/>
        </w:rPr>
      </w:pPr>
      <w:proofErr w:type="spellStart"/>
      <w:r w:rsidRPr="0068757D">
        <w:rPr>
          <w:color w:val="222222"/>
          <w:shd w:val="clear" w:color="auto" w:fill="FFFFFF"/>
        </w:rPr>
        <w:t>Dabla</w:t>
      </w:r>
      <w:proofErr w:type="spellEnd"/>
      <w:r w:rsidRPr="0068757D">
        <w:rPr>
          <w:color w:val="222222"/>
          <w:shd w:val="clear" w:color="auto" w:fill="FFFFFF"/>
        </w:rPr>
        <w:t>-Norris, Era, et al. </w:t>
      </w:r>
      <w:r w:rsidRPr="0068757D">
        <w:rPr>
          <w:i/>
          <w:iCs/>
          <w:color w:val="222222"/>
          <w:shd w:val="clear" w:color="auto" w:fill="FFFFFF"/>
        </w:rPr>
        <w:t>Causes and consequences of income inequality: A global perspective</w:t>
      </w:r>
      <w:r w:rsidRPr="0068757D">
        <w:rPr>
          <w:color w:val="222222"/>
          <w:shd w:val="clear" w:color="auto" w:fill="FFFFFF"/>
        </w:rPr>
        <w:t>. International Monetary Fund, 2015.</w:t>
      </w:r>
    </w:p>
    <w:p w14:paraId="355A4969" w14:textId="77777777" w:rsidR="00055472" w:rsidRPr="00DD4E8A" w:rsidRDefault="00055472" w:rsidP="00055472">
      <w:pPr>
        <w:pStyle w:val="ListeParagraf"/>
        <w:numPr>
          <w:ilvl w:val="0"/>
          <w:numId w:val="38"/>
        </w:numPr>
        <w:spacing w:after="160" w:line="276" w:lineRule="auto"/>
        <w:rPr>
          <w:bCs/>
          <w:color w:val="000000"/>
        </w:rPr>
      </w:pPr>
      <w:proofErr w:type="spellStart"/>
      <w:r w:rsidRPr="0068757D">
        <w:rPr>
          <w:color w:val="222222"/>
          <w:shd w:val="clear" w:color="auto" w:fill="FFFFFF"/>
        </w:rPr>
        <w:t>Ostry</w:t>
      </w:r>
      <w:proofErr w:type="spellEnd"/>
      <w:r w:rsidRPr="0068757D">
        <w:rPr>
          <w:color w:val="222222"/>
          <w:shd w:val="clear" w:color="auto" w:fill="FFFFFF"/>
        </w:rPr>
        <w:t>, Jonathan David</w:t>
      </w:r>
      <w:proofErr w:type="gramStart"/>
      <w:r w:rsidRPr="0068757D">
        <w:rPr>
          <w:color w:val="222222"/>
          <w:shd w:val="clear" w:color="auto" w:fill="FFFFFF"/>
        </w:rPr>
        <w:t xml:space="preserve">, </w:t>
      </w:r>
      <w:r>
        <w:rPr>
          <w:color w:val="222222"/>
          <w:shd w:val="clear" w:color="auto" w:fill="FFFFFF"/>
        </w:rPr>
        <w:t xml:space="preserve"> </w:t>
      </w:r>
      <w:r w:rsidRPr="0068757D">
        <w:rPr>
          <w:color w:val="222222"/>
          <w:shd w:val="clear" w:color="auto" w:fill="FFFFFF"/>
        </w:rPr>
        <w:t>Andrew</w:t>
      </w:r>
      <w:proofErr w:type="gramEnd"/>
      <w:r w:rsidRPr="0068757D">
        <w:rPr>
          <w:color w:val="222222"/>
          <w:shd w:val="clear" w:color="auto" w:fill="FFFFFF"/>
        </w:rPr>
        <w:t xml:space="preserve"> Berg, and </w:t>
      </w:r>
      <w:proofErr w:type="spellStart"/>
      <w:r w:rsidRPr="0068757D">
        <w:rPr>
          <w:color w:val="222222"/>
          <w:shd w:val="clear" w:color="auto" w:fill="FFFFFF"/>
        </w:rPr>
        <w:t>Charalambos</w:t>
      </w:r>
      <w:proofErr w:type="spellEnd"/>
      <w:r w:rsidRPr="0068757D">
        <w:rPr>
          <w:color w:val="222222"/>
          <w:shd w:val="clear" w:color="auto" w:fill="FFFFFF"/>
        </w:rPr>
        <w:t xml:space="preserve"> G. </w:t>
      </w:r>
      <w:proofErr w:type="spellStart"/>
      <w:r w:rsidRPr="0068757D">
        <w:rPr>
          <w:color w:val="222222"/>
          <w:shd w:val="clear" w:color="auto" w:fill="FFFFFF"/>
        </w:rPr>
        <w:t>Tsangarides</w:t>
      </w:r>
      <w:proofErr w:type="spellEnd"/>
      <w:r w:rsidRPr="0068757D">
        <w:rPr>
          <w:color w:val="222222"/>
          <w:shd w:val="clear" w:color="auto" w:fill="FFFFFF"/>
        </w:rPr>
        <w:t>. </w:t>
      </w:r>
      <w:r w:rsidRPr="0068757D">
        <w:rPr>
          <w:i/>
          <w:iCs/>
          <w:color w:val="222222"/>
          <w:shd w:val="clear" w:color="auto" w:fill="FFFFFF"/>
        </w:rPr>
        <w:t>Redistribution, inequality, and growth</w:t>
      </w:r>
      <w:r w:rsidRPr="0068757D">
        <w:rPr>
          <w:color w:val="222222"/>
          <w:shd w:val="clear" w:color="auto" w:fill="FFFFFF"/>
        </w:rPr>
        <w:t>. International Monetary Fund, 2014.</w:t>
      </w:r>
    </w:p>
    <w:p w14:paraId="78C992AD" w14:textId="7E46900C" w:rsidR="00DD4E8A" w:rsidRPr="00DD4E8A" w:rsidRDefault="00DD4E8A" w:rsidP="00DD4E8A">
      <w:pPr>
        <w:spacing w:after="160" w:line="276" w:lineRule="auto"/>
        <w:rPr>
          <w:b/>
          <w:bCs/>
          <w:color w:val="000000"/>
        </w:rPr>
      </w:pPr>
      <w:r w:rsidRPr="00DD4E8A">
        <w:rPr>
          <w:b/>
          <w:bCs/>
          <w:color w:val="000000"/>
        </w:rPr>
        <w:t xml:space="preserve">Week 12: Midterm Exam </w:t>
      </w:r>
    </w:p>
    <w:p w14:paraId="3275F447" w14:textId="4FA41082" w:rsidR="007F7ABD" w:rsidRPr="00B44F27" w:rsidRDefault="0069398D" w:rsidP="006809D5">
      <w:pPr>
        <w:spacing w:line="276" w:lineRule="auto"/>
        <w:jc w:val="both"/>
        <w:rPr>
          <w:b/>
          <w:bCs/>
          <w:color w:val="000000"/>
        </w:rPr>
      </w:pPr>
      <w:r w:rsidRPr="00B44F27">
        <w:rPr>
          <w:b/>
          <w:bCs/>
          <w:color w:val="000000"/>
        </w:rPr>
        <w:t xml:space="preserve">Week </w:t>
      </w:r>
      <w:r w:rsidR="00055472">
        <w:rPr>
          <w:b/>
          <w:bCs/>
          <w:color w:val="000000"/>
        </w:rPr>
        <w:t>1</w:t>
      </w:r>
      <w:r w:rsidR="00DD4E8A">
        <w:rPr>
          <w:b/>
          <w:bCs/>
          <w:color w:val="000000"/>
        </w:rPr>
        <w:t>3</w:t>
      </w:r>
      <w:r w:rsidRPr="00B44F27">
        <w:rPr>
          <w:b/>
          <w:bCs/>
          <w:color w:val="000000"/>
        </w:rPr>
        <w:t xml:space="preserve">: </w:t>
      </w:r>
      <w:r w:rsidR="0094423A">
        <w:rPr>
          <w:b/>
          <w:bCs/>
          <w:color w:val="000000"/>
        </w:rPr>
        <w:t>Inequality and</w:t>
      </w:r>
      <w:r w:rsidR="007F7ABD" w:rsidRPr="00B44F27">
        <w:rPr>
          <w:b/>
          <w:bCs/>
          <w:color w:val="000000"/>
        </w:rPr>
        <w:t xml:space="preserve"> </w:t>
      </w:r>
      <w:r w:rsidR="0094423A">
        <w:rPr>
          <w:b/>
          <w:bCs/>
          <w:color w:val="000000"/>
        </w:rPr>
        <w:t>re</w:t>
      </w:r>
      <w:r w:rsidR="007F7ABD" w:rsidRPr="00B44F27">
        <w:rPr>
          <w:b/>
          <w:bCs/>
          <w:color w:val="000000"/>
        </w:rPr>
        <w:t>distribution</w:t>
      </w:r>
    </w:p>
    <w:p w14:paraId="556F0B79" w14:textId="3345F12B" w:rsidR="00B44F27" w:rsidRPr="00B44F27" w:rsidRDefault="00B44F27" w:rsidP="006809D5">
      <w:pPr>
        <w:pStyle w:val="ListeParagraf"/>
        <w:numPr>
          <w:ilvl w:val="0"/>
          <w:numId w:val="41"/>
        </w:numPr>
        <w:spacing w:line="276" w:lineRule="auto"/>
        <w:jc w:val="both"/>
        <w:rPr>
          <w:bCs/>
          <w:color w:val="000000"/>
        </w:rPr>
      </w:pPr>
      <w:proofErr w:type="spellStart"/>
      <w:r w:rsidRPr="00B44F27">
        <w:rPr>
          <w:color w:val="222222"/>
          <w:shd w:val="clear" w:color="auto" w:fill="FFFFFF"/>
        </w:rPr>
        <w:t>Borck</w:t>
      </w:r>
      <w:proofErr w:type="spellEnd"/>
      <w:r w:rsidRPr="00B44F27">
        <w:rPr>
          <w:color w:val="222222"/>
          <w:shd w:val="clear" w:color="auto" w:fill="FFFFFF"/>
        </w:rPr>
        <w:t xml:space="preserve">, </w:t>
      </w:r>
      <w:proofErr w:type="spellStart"/>
      <w:r w:rsidRPr="00B44F27">
        <w:rPr>
          <w:color w:val="222222"/>
          <w:shd w:val="clear" w:color="auto" w:fill="FFFFFF"/>
        </w:rPr>
        <w:t>Rainald</w:t>
      </w:r>
      <w:proofErr w:type="spellEnd"/>
      <w:r w:rsidRPr="00B44F27">
        <w:rPr>
          <w:color w:val="222222"/>
          <w:shd w:val="clear" w:color="auto" w:fill="FFFFFF"/>
        </w:rPr>
        <w:t>. "Voting, inequality and redistribution." </w:t>
      </w:r>
      <w:r w:rsidRPr="00B44F27">
        <w:rPr>
          <w:i/>
          <w:iCs/>
          <w:color w:val="222222"/>
          <w:shd w:val="clear" w:color="auto" w:fill="FFFFFF"/>
        </w:rPr>
        <w:t>Journal of economic surveys</w:t>
      </w:r>
      <w:r w:rsidRPr="00B44F27">
        <w:rPr>
          <w:color w:val="222222"/>
          <w:shd w:val="clear" w:color="auto" w:fill="FFFFFF"/>
        </w:rPr>
        <w:t> 21.1 (2007): 90-109.</w:t>
      </w:r>
    </w:p>
    <w:p w14:paraId="449F9EB7" w14:textId="24460ACF" w:rsidR="00B44F27" w:rsidRPr="00B44F27" w:rsidRDefault="00B44F27" w:rsidP="006809D5">
      <w:pPr>
        <w:pStyle w:val="ListeParagraf"/>
        <w:numPr>
          <w:ilvl w:val="0"/>
          <w:numId w:val="41"/>
        </w:numPr>
        <w:spacing w:line="276" w:lineRule="auto"/>
        <w:jc w:val="both"/>
        <w:rPr>
          <w:bCs/>
          <w:color w:val="000000"/>
        </w:rPr>
      </w:pPr>
      <w:r w:rsidRPr="00B44F27">
        <w:rPr>
          <w:color w:val="222222"/>
          <w:shd w:val="clear" w:color="auto" w:fill="FFFFFF"/>
        </w:rPr>
        <w:t>Harms, Philipp, and Stefan Zink. "Limits to redistribution in a democracy: a survey." </w:t>
      </w:r>
      <w:r w:rsidRPr="00B44F27">
        <w:rPr>
          <w:i/>
          <w:iCs/>
          <w:color w:val="222222"/>
          <w:shd w:val="clear" w:color="auto" w:fill="FFFFFF"/>
        </w:rPr>
        <w:t>European Journal of Political Economy</w:t>
      </w:r>
      <w:r w:rsidRPr="00B44F27">
        <w:rPr>
          <w:color w:val="222222"/>
          <w:shd w:val="clear" w:color="auto" w:fill="FFFFFF"/>
        </w:rPr>
        <w:t> 19.4 (2003): 651-668.</w:t>
      </w:r>
    </w:p>
    <w:p w14:paraId="181EC017" w14:textId="1D41BFE3" w:rsidR="00B44F27" w:rsidRPr="00B44F27" w:rsidRDefault="00B44F27" w:rsidP="006809D5">
      <w:pPr>
        <w:spacing w:line="276" w:lineRule="auto"/>
        <w:jc w:val="both"/>
        <w:rPr>
          <w:bCs/>
          <w:color w:val="000000"/>
        </w:rPr>
      </w:pPr>
      <w:r w:rsidRPr="00B44F27">
        <w:rPr>
          <w:bCs/>
          <w:color w:val="000000"/>
        </w:rPr>
        <w:t>Supplementary reading:</w:t>
      </w:r>
    </w:p>
    <w:p w14:paraId="7E6B22F4" w14:textId="3FEAA6AB" w:rsidR="00B44F27" w:rsidRPr="00B44F27" w:rsidRDefault="00B44F27" w:rsidP="006809D5">
      <w:pPr>
        <w:pStyle w:val="ListeParagraf"/>
        <w:numPr>
          <w:ilvl w:val="0"/>
          <w:numId w:val="41"/>
        </w:numPr>
        <w:spacing w:line="276" w:lineRule="auto"/>
        <w:jc w:val="both"/>
        <w:rPr>
          <w:bCs/>
          <w:color w:val="000000"/>
        </w:rPr>
      </w:pPr>
      <w:proofErr w:type="spellStart"/>
      <w:r w:rsidRPr="00B44F27">
        <w:rPr>
          <w:color w:val="222222"/>
          <w:shd w:val="clear" w:color="auto" w:fill="FFFFFF"/>
        </w:rPr>
        <w:t>Acemoglu</w:t>
      </w:r>
      <w:proofErr w:type="spellEnd"/>
      <w:r w:rsidRPr="00B44F27">
        <w:rPr>
          <w:color w:val="222222"/>
          <w:shd w:val="clear" w:color="auto" w:fill="FFFFFF"/>
        </w:rPr>
        <w:t>, Daron, et al. "Democracy, redistribution, and inequality." </w:t>
      </w:r>
      <w:r w:rsidRPr="00B44F27">
        <w:rPr>
          <w:i/>
          <w:iCs/>
          <w:color w:val="222222"/>
          <w:shd w:val="clear" w:color="auto" w:fill="FFFFFF"/>
        </w:rPr>
        <w:t>Handbook of income distribution</w:t>
      </w:r>
      <w:r w:rsidRPr="00B44F27">
        <w:rPr>
          <w:color w:val="222222"/>
          <w:shd w:val="clear" w:color="auto" w:fill="FFFFFF"/>
        </w:rPr>
        <w:t>. Vol. 2. Elsevier, 2015. 1885-1966.</w:t>
      </w:r>
    </w:p>
    <w:p w14:paraId="173262BA" w14:textId="67281F55" w:rsidR="00B44F27" w:rsidRPr="00B44F27" w:rsidRDefault="00B44F27" w:rsidP="006809D5">
      <w:pPr>
        <w:pStyle w:val="ListeParagraf"/>
        <w:numPr>
          <w:ilvl w:val="0"/>
          <w:numId w:val="41"/>
        </w:numPr>
        <w:spacing w:line="276" w:lineRule="auto"/>
        <w:jc w:val="both"/>
        <w:rPr>
          <w:bCs/>
          <w:color w:val="000000"/>
        </w:rPr>
      </w:pPr>
      <w:proofErr w:type="spellStart"/>
      <w:r w:rsidRPr="00B44F27">
        <w:rPr>
          <w:color w:val="222222"/>
          <w:shd w:val="clear" w:color="auto" w:fill="FFFFFF"/>
        </w:rPr>
        <w:t>Benabou</w:t>
      </w:r>
      <w:proofErr w:type="spellEnd"/>
      <w:r w:rsidRPr="00B44F27">
        <w:rPr>
          <w:color w:val="222222"/>
          <w:shd w:val="clear" w:color="auto" w:fill="FFFFFF"/>
        </w:rPr>
        <w:t xml:space="preserve">, Roland, and </w:t>
      </w:r>
      <w:proofErr w:type="spellStart"/>
      <w:r w:rsidRPr="00B44F27">
        <w:rPr>
          <w:color w:val="222222"/>
          <w:shd w:val="clear" w:color="auto" w:fill="FFFFFF"/>
        </w:rPr>
        <w:t>Efe</w:t>
      </w:r>
      <w:proofErr w:type="spellEnd"/>
      <w:r w:rsidRPr="00B44F27">
        <w:rPr>
          <w:color w:val="222222"/>
          <w:shd w:val="clear" w:color="auto" w:fill="FFFFFF"/>
        </w:rPr>
        <w:t xml:space="preserve"> A. Ok. "Social mobility and the demand for redistribution: the POUM hypothesis." </w:t>
      </w:r>
      <w:r w:rsidRPr="00B44F27">
        <w:rPr>
          <w:i/>
          <w:iCs/>
          <w:color w:val="222222"/>
          <w:shd w:val="clear" w:color="auto" w:fill="FFFFFF"/>
        </w:rPr>
        <w:t>The Quarterly Journal of Economics</w:t>
      </w:r>
      <w:r w:rsidRPr="00B44F27">
        <w:rPr>
          <w:color w:val="222222"/>
          <w:shd w:val="clear" w:color="auto" w:fill="FFFFFF"/>
        </w:rPr>
        <w:t> 116.2 (2001): 447-487.</w:t>
      </w:r>
      <w:r w:rsidRPr="00B44F27">
        <w:rPr>
          <w:bCs/>
          <w:color w:val="000000"/>
        </w:rPr>
        <w:t xml:space="preserve"> </w:t>
      </w:r>
    </w:p>
    <w:p w14:paraId="2942D2A9" w14:textId="2935BC39" w:rsidR="00107FE4" w:rsidRPr="00055472" w:rsidRDefault="00B44F27" w:rsidP="006809D5">
      <w:pPr>
        <w:pStyle w:val="ListeParagraf"/>
        <w:numPr>
          <w:ilvl w:val="0"/>
          <w:numId w:val="41"/>
        </w:numPr>
        <w:spacing w:line="276" w:lineRule="auto"/>
        <w:jc w:val="both"/>
        <w:rPr>
          <w:bCs/>
          <w:color w:val="000000"/>
        </w:rPr>
      </w:pPr>
      <w:r w:rsidRPr="00B44F27">
        <w:rPr>
          <w:color w:val="222222"/>
          <w:shd w:val="clear" w:color="auto" w:fill="FFFFFF"/>
        </w:rPr>
        <w:lastRenderedPageBreak/>
        <w:t>Roemer, John E. "Why the poor do not expropriate the rich: an old argument in new garb." </w:t>
      </w:r>
      <w:r w:rsidRPr="00B44F27">
        <w:rPr>
          <w:i/>
          <w:iCs/>
          <w:color w:val="222222"/>
          <w:shd w:val="clear" w:color="auto" w:fill="FFFFFF"/>
        </w:rPr>
        <w:t>Journal of Public Economics</w:t>
      </w:r>
      <w:r w:rsidRPr="00B44F27">
        <w:rPr>
          <w:color w:val="222222"/>
          <w:shd w:val="clear" w:color="auto" w:fill="FFFFFF"/>
        </w:rPr>
        <w:t> 70.3 (1998): 399-424.</w:t>
      </w:r>
    </w:p>
    <w:p w14:paraId="60D3E5A2" w14:textId="77777777" w:rsidR="00055472" w:rsidRDefault="00055472" w:rsidP="00055472">
      <w:pPr>
        <w:spacing w:line="276" w:lineRule="auto"/>
        <w:jc w:val="both"/>
        <w:rPr>
          <w:bCs/>
          <w:color w:val="000000"/>
        </w:rPr>
      </w:pPr>
    </w:p>
    <w:p w14:paraId="190BC6F9" w14:textId="77777777" w:rsidR="00055472" w:rsidRDefault="00055472" w:rsidP="00055472">
      <w:pPr>
        <w:spacing w:line="276" w:lineRule="auto"/>
        <w:jc w:val="both"/>
        <w:rPr>
          <w:bCs/>
          <w:color w:val="000000"/>
        </w:rPr>
      </w:pPr>
    </w:p>
    <w:p w14:paraId="74E559D8" w14:textId="77777777" w:rsidR="00055472" w:rsidRPr="00055472" w:rsidRDefault="00055472" w:rsidP="00055472">
      <w:pPr>
        <w:spacing w:line="276" w:lineRule="auto"/>
        <w:jc w:val="both"/>
        <w:rPr>
          <w:bCs/>
          <w:color w:val="000000"/>
        </w:rPr>
      </w:pPr>
    </w:p>
    <w:sectPr w:rsidR="00055472" w:rsidRPr="00055472" w:rsidSect="00B71AE6">
      <w:headerReference w:type="default" r:id="rId7"/>
      <w:footerReference w:type="even"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1AD4" w14:textId="77777777" w:rsidR="005F7B25" w:rsidRDefault="005F7B25" w:rsidP="00365B78">
      <w:r>
        <w:separator/>
      </w:r>
    </w:p>
  </w:endnote>
  <w:endnote w:type="continuationSeparator" w:id="0">
    <w:p w14:paraId="1BBA3126" w14:textId="77777777" w:rsidR="005F7B25" w:rsidRDefault="005F7B25" w:rsidP="003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Liberation Serif">
    <w:altName w:val="Times New Roman"/>
    <w:charset w:val="01"/>
    <w:family w:val="roman"/>
    <w:pitch w:val="variable"/>
  </w:font>
  <w:font w:name="DejaVu Sans">
    <w:altName w:val="Times New Roman"/>
    <w:charset w:val="01"/>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B9A52" w14:textId="77777777" w:rsidR="00CB0D9E" w:rsidRDefault="00CB0D9E" w:rsidP="0000653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DBFE8E" w14:textId="77777777" w:rsidR="00CB0D9E" w:rsidRDefault="00CB0D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77EB" w14:textId="77777777" w:rsidR="005F7B25" w:rsidRDefault="005F7B25" w:rsidP="00365B78">
      <w:r>
        <w:separator/>
      </w:r>
    </w:p>
  </w:footnote>
  <w:footnote w:type="continuationSeparator" w:id="0">
    <w:p w14:paraId="4631E284" w14:textId="77777777" w:rsidR="005F7B25" w:rsidRDefault="005F7B25" w:rsidP="00365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37FDC" w14:textId="55EC59CA" w:rsidR="004A35A7" w:rsidRDefault="004A35A7" w:rsidP="004A35A7">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19"/>
    <w:multiLevelType w:val="hybridMultilevel"/>
    <w:tmpl w:val="D076D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7547F"/>
    <w:multiLevelType w:val="hybridMultilevel"/>
    <w:tmpl w:val="33C4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AE0275"/>
    <w:multiLevelType w:val="hybridMultilevel"/>
    <w:tmpl w:val="56E85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0C51"/>
    <w:multiLevelType w:val="hybridMultilevel"/>
    <w:tmpl w:val="7794E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13C5"/>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3C7E1C"/>
    <w:multiLevelType w:val="hybridMultilevel"/>
    <w:tmpl w:val="7AC0A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471DE"/>
    <w:multiLevelType w:val="hybridMultilevel"/>
    <w:tmpl w:val="33F81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330C8"/>
    <w:multiLevelType w:val="hybridMultilevel"/>
    <w:tmpl w:val="67DE3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562744"/>
    <w:multiLevelType w:val="hybridMultilevel"/>
    <w:tmpl w:val="3A505F7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8033EC6"/>
    <w:multiLevelType w:val="hybridMultilevel"/>
    <w:tmpl w:val="A58A2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087632"/>
    <w:multiLevelType w:val="hybridMultilevel"/>
    <w:tmpl w:val="6172D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EA15DA"/>
    <w:multiLevelType w:val="hybridMultilevel"/>
    <w:tmpl w:val="EAE28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35F0F"/>
    <w:multiLevelType w:val="hybridMultilevel"/>
    <w:tmpl w:val="C0121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3A4570B"/>
    <w:multiLevelType w:val="hybridMultilevel"/>
    <w:tmpl w:val="1F5ED70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33C97017"/>
    <w:multiLevelType w:val="hybridMultilevel"/>
    <w:tmpl w:val="E1C02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2EE3"/>
    <w:multiLevelType w:val="multilevel"/>
    <w:tmpl w:val="01BA7C7E"/>
    <w:lvl w:ilvl="0">
      <w:start w:val="8"/>
      <w:numFmt w:val="decimalZero"/>
      <w:lvlText w:val="%1"/>
      <w:lvlJc w:val="left"/>
      <w:pPr>
        <w:tabs>
          <w:tab w:val="num" w:pos="360"/>
        </w:tabs>
        <w:ind w:left="360" w:hanging="360"/>
      </w:pPr>
      <w:rPr>
        <w:rFonts w:hint="default"/>
        <w:b/>
      </w:rPr>
    </w:lvl>
    <w:lvl w:ilvl="1">
      <w:start w:val="3"/>
      <w:numFmt w:val="decimalZero"/>
      <w:lvlText w:val="%1.%2"/>
      <w:lvlJc w:val="left"/>
      <w:pPr>
        <w:tabs>
          <w:tab w:val="num" w:pos="360"/>
        </w:tabs>
        <w:ind w:left="360" w:hanging="360"/>
      </w:pPr>
      <w:rPr>
        <w:rFonts w:hint="default"/>
        <w:b/>
      </w:rPr>
    </w:lvl>
    <w:lvl w:ilvl="2">
      <w:start w:val="201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96229AF"/>
    <w:multiLevelType w:val="hybridMultilevel"/>
    <w:tmpl w:val="221AB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CC4D6D"/>
    <w:multiLevelType w:val="hybridMultilevel"/>
    <w:tmpl w:val="082E3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B801D1"/>
    <w:multiLevelType w:val="hybridMultilevel"/>
    <w:tmpl w:val="C0029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87530"/>
    <w:multiLevelType w:val="hybridMultilevel"/>
    <w:tmpl w:val="FFEC9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A6B35"/>
    <w:multiLevelType w:val="hybridMultilevel"/>
    <w:tmpl w:val="90F48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2264B0"/>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64C2530"/>
    <w:multiLevelType w:val="hybridMultilevel"/>
    <w:tmpl w:val="381CD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DA6603"/>
    <w:multiLevelType w:val="hybridMultilevel"/>
    <w:tmpl w:val="3E5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8D77F4"/>
    <w:multiLevelType w:val="hybridMultilevel"/>
    <w:tmpl w:val="4594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182213"/>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6901079"/>
    <w:multiLevelType w:val="hybridMultilevel"/>
    <w:tmpl w:val="62B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F263C"/>
    <w:multiLevelType w:val="hybridMultilevel"/>
    <w:tmpl w:val="0EBA6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2D1075"/>
    <w:multiLevelType w:val="multilevel"/>
    <w:tmpl w:val="E8D6EBA4"/>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371CCC"/>
    <w:multiLevelType w:val="hybridMultilevel"/>
    <w:tmpl w:val="CBA03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A2D52"/>
    <w:multiLevelType w:val="hybridMultilevel"/>
    <w:tmpl w:val="A6741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17550"/>
    <w:multiLevelType w:val="multilevel"/>
    <w:tmpl w:val="9482C940"/>
    <w:lvl w:ilvl="0">
      <w:start w:val="1"/>
      <w:numFmt w:val="decimal"/>
      <w:lvlText w:val="%1."/>
      <w:lvlJc w:val="right"/>
      <w:pPr>
        <w:tabs>
          <w:tab w:val="num" w:pos="2750"/>
        </w:tabs>
        <w:ind w:left="2750" w:hanging="56"/>
      </w:pPr>
      <w:rPr>
        <w:rFonts w:cs="Times New Roman" w:hint="default"/>
        <w:b w:val="0"/>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b/>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32" w15:restartNumberingAfterBreak="0">
    <w:nsid w:val="5FAD2870"/>
    <w:multiLevelType w:val="hybridMultilevel"/>
    <w:tmpl w:val="489AC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65BD0"/>
    <w:multiLevelType w:val="multilevel"/>
    <w:tmpl w:val="E8D6EBA4"/>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DE2536"/>
    <w:multiLevelType w:val="hybridMultilevel"/>
    <w:tmpl w:val="2696C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D91620"/>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870A3C"/>
    <w:multiLevelType w:val="hybridMultilevel"/>
    <w:tmpl w:val="B6D45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DA02AD"/>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B706EA2"/>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FE503C9"/>
    <w:multiLevelType w:val="hybridMultilevel"/>
    <w:tmpl w:val="1B644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A6229C"/>
    <w:multiLevelType w:val="multilevel"/>
    <w:tmpl w:val="D5E4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B32C6"/>
    <w:multiLevelType w:val="hybridMultilevel"/>
    <w:tmpl w:val="FB488F0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B565E20"/>
    <w:multiLevelType w:val="hybridMultilevel"/>
    <w:tmpl w:val="89AAE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C12E3B"/>
    <w:multiLevelType w:val="hybridMultilevel"/>
    <w:tmpl w:val="94400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3"/>
  </w:num>
  <w:num w:numId="3">
    <w:abstractNumId w:val="41"/>
  </w:num>
  <w:num w:numId="4">
    <w:abstractNumId w:val="8"/>
  </w:num>
  <w:num w:numId="5">
    <w:abstractNumId w:val="43"/>
  </w:num>
  <w:num w:numId="6">
    <w:abstractNumId w:val="39"/>
  </w:num>
  <w:num w:numId="7">
    <w:abstractNumId w:val="2"/>
  </w:num>
  <w:num w:numId="8">
    <w:abstractNumId w:val="32"/>
  </w:num>
  <w:num w:numId="9">
    <w:abstractNumId w:val="5"/>
  </w:num>
  <w:num w:numId="10">
    <w:abstractNumId w:val="29"/>
  </w:num>
  <w:num w:numId="11">
    <w:abstractNumId w:val="26"/>
  </w:num>
  <w:num w:numId="12">
    <w:abstractNumId w:val="30"/>
  </w:num>
  <w:num w:numId="13">
    <w:abstractNumId w:val="0"/>
  </w:num>
  <w:num w:numId="14">
    <w:abstractNumId w:val="19"/>
  </w:num>
  <w:num w:numId="15">
    <w:abstractNumId w:val="6"/>
  </w:num>
  <w:num w:numId="16">
    <w:abstractNumId w:val="3"/>
  </w:num>
  <w:num w:numId="17">
    <w:abstractNumId w:val="18"/>
  </w:num>
  <w:num w:numId="18">
    <w:abstractNumId w:val="11"/>
  </w:num>
  <w:num w:numId="19">
    <w:abstractNumId w:val="14"/>
  </w:num>
  <w:num w:numId="20">
    <w:abstractNumId w:val="38"/>
  </w:num>
  <w:num w:numId="21">
    <w:abstractNumId w:val="21"/>
  </w:num>
  <w:num w:numId="22">
    <w:abstractNumId w:val="37"/>
  </w:num>
  <w:num w:numId="23">
    <w:abstractNumId w:val="25"/>
  </w:num>
  <w:num w:numId="24">
    <w:abstractNumId w:val="33"/>
  </w:num>
  <w:num w:numId="25">
    <w:abstractNumId w:val="28"/>
  </w:num>
  <w:num w:numId="26">
    <w:abstractNumId w:val="15"/>
  </w:num>
  <w:num w:numId="27">
    <w:abstractNumId w:val="4"/>
  </w:num>
  <w:num w:numId="28">
    <w:abstractNumId w:val="35"/>
  </w:num>
  <w:num w:numId="29">
    <w:abstractNumId w:val="12"/>
  </w:num>
  <w:num w:numId="30">
    <w:abstractNumId w:val="42"/>
  </w:num>
  <w:num w:numId="31">
    <w:abstractNumId w:val="17"/>
  </w:num>
  <w:num w:numId="32">
    <w:abstractNumId w:val="20"/>
  </w:num>
  <w:num w:numId="33">
    <w:abstractNumId w:val="24"/>
  </w:num>
  <w:num w:numId="34">
    <w:abstractNumId w:val="36"/>
  </w:num>
  <w:num w:numId="35">
    <w:abstractNumId w:val="1"/>
  </w:num>
  <w:num w:numId="36">
    <w:abstractNumId w:val="9"/>
  </w:num>
  <w:num w:numId="37">
    <w:abstractNumId w:val="23"/>
  </w:num>
  <w:num w:numId="38">
    <w:abstractNumId w:val="34"/>
  </w:num>
  <w:num w:numId="39">
    <w:abstractNumId w:val="7"/>
  </w:num>
  <w:num w:numId="40">
    <w:abstractNumId w:val="27"/>
  </w:num>
  <w:num w:numId="41">
    <w:abstractNumId w:val="16"/>
  </w:num>
  <w:num w:numId="42">
    <w:abstractNumId w:val="10"/>
  </w:num>
  <w:num w:numId="43">
    <w:abstractNumId w:val="2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7A"/>
    <w:rsid w:val="00001179"/>
    <w:rsid w:val="000043AC"/>
    <w:rsid w:val="00005E2C"/>
    <w:rsid w:val="00006535"/>
    <w:rsid w:val="000118AF"/>
    <w:rsid w:val="00012444"/>
    <w:rsid w:val="00012963"/>
    <w:rsid w:val="00021048"/>
    <w:rsid w:val="00022C6C"/>
    <w:rsid w:val="000246AD"/>
    <w:rsid w:val="00024F05"/>
    <w:rsid w:val="00033E02"/>
    <w:rsid w:val="00037276"/>
    <w:rsid w:val="00041796"/>
    <w:rsid w:val="00041F08"/>
    <w:rsid w:val="00042606"/>
    <w:rsid w:val="00045468"/>
    <w:rsid w:val="00045EF6"/>
    <w:rsid w:val="000467D9"/>
    <w:rsid w:val="00046E34"/>
    <w:rsid w:val="00052E85"/>
    <w:rsid w:val="00055472"/>
    <w:rsid w:val="000575A3"/>
    <w:rsid w:val="000576CD"/>
    <w:rsid w:val="00064D4A"/>
    <w:rsid w:val="00070137"/>
    <w:rsid w:val="0007649F"/>
    <w:rsid w:val="000807C7"/>
    <w:rsid w:val="00082885"/>
    <w:rsid w:val="000917C9"/>
    <w:rsid w:val="000921EE"/>
    <w:rsid w:val="00094566"/>
    <w:rsid w:val="0009738F"/>
    <w:rsid w:val="000A0675"/>
    <w:rsid w:val="000A0A40"/>
    <w:rsid w:val="000B0379"/>
    <w:rsid w:val="000B7316"/>
    <w:rsid w:val="000C05A4"/>
    <w:rsid w:val="000C0951"/>
    <w:rsid w:val="000C290B"/>
    <w:rsid w:val="000D0E76"/>
    <w:rsid w:val="000D39E8"/>
    <w:rsid w:val="000D3BDF"/>
    <w:rsid w:val="000D40C8"/>
    <w:rsid w:val="000D4B89"/>
    <w:rsid w:val="000E3934"/>
    <w:rsid w:val="000E44F8"/>
    <w:rsid w:val="000E70C4"/>
    <w:rsid w:val="000F0ED1"/>
    <w:rsid w:val="000F5BFC"/>
    <w:rsid w:val="000F6A4B"/>
    <w:rsid w:val="0010074E"/>
    <w:rsid w:val="00102BE5"/>
    <w:rsid w:val="00103537"/>
    <w:rsid w:val="00106EFE"/>
    <w:rsid w:val="00107AEA"/>
    <w:rsid w:val="00107FE4"/>
    <w:rsid w:val="00110DB1"/>
    <w:rsid w:val="0011686E"/>
    <w:rsid w:val="00130835"/>
    <w:rsid w:val="001337AA"/>
    <w:rsid w:val="0013662D"/>
    <w:rsid w:val="00141340"/>
    <w:rsid w:val="001471DA"/>
    <w:rsid w:val="001507EE"/>
    <w:rsid w:val="001537DB"/>
    <w:rsid w:val="00154A5B"/>
    <w:rsid w:val="0016056A"/>
    <w:rsid w:val="00162F2B"/>
    <w:rsid w:val="00163E09"/>
    <w:rsid w:val="001651FF"/>
    <w:rsid w:val="0016707C"/>
    <w:rsid w:val="001702AB"/>
    <w:rsid w:val="00171243"/>
    <w:rsid w:val="001714CF"/>
    <w:rsid w:val="001716C1"/>
    <w:rsid w:val="00172402"/>
    <w:rsid w:val="00176AE6"/>
    <w:rsid w:val="00176E38"/>
    <w:rsid w:val="00186DF1"/>
    <w:rsid w:val="00190670"/>
    <w:rsid w:val="00192C9C"/>
    <w:rsid w:val="00193F8B"/>
    <w:rsid w:val="0019414B"/>
    <w:rsid w:val="00196F68"/>
    <w:rsid w:val="001A017D"/>
    <w:rsid w:val="001A0558"/>
    <w:rsid w:val="001A50C9"/>
    <w:rsid w:val="001A5135"/>
    <w:rsid w:val="001B2431"/>
    <w:rsid w:val="001B3D5C"/>
    <w:rsid w:val="001B4FD7"/>
    <w:rsid w:val="001B50DD"/>
    <w:rsid w:val="001B6410"/>
    <w:rsid w:val="001D30D7"/>
    <w:rsid w:val="001D7069"/>
    <w:rsid w:val="001D7831"/>
    <w:rsid w:val="001E2B92"/>
    <w:rsid w:val="001E3F62"/>
    <w:rsid w:val="001E5386"/>
    <w:rsid w:val="001E7459"/>
    <w:rsid w:val="001F1F4A"/>
    <w:rsid w:val="00200EE9"/>
    <w:rsid w:val="002016E0"/>
    <w:rsid w:val="0020638E"/>
    <w:rsid w:val="00211203"/>
    <w:rsid w:val="002138FF"/>
    <w:rsid w:val="00215369"/>
    <w:rsid w:val="00222C7A"/>
    <w:rsid w:val="002252DF"/>
    <w:rsid w:val="00227486"/>
    <w:rsid w:val="00231DB3"/>
    <w:rsid w:val="0024087D"/>
    <w:rsid w:val="002411A5"/>
    <w:rsid w:val="00241662"/>
    <w:rsid w:val="00244B21"/>
    <w:rsid w:val="00250E5B"/>
    <w:rsid w:val="0025182F"/>
    <w:rsid w:val="00252717"/>
    <w:rsid w:val="00253C04"/>
    <w:rsid w:val="00254581"/>
    <w:rsid w:val="00256537"/>
    <w:rsid w:val="00256D05"/>
    <w:rsid w:val="002600A0"/>
    <w:rsid w:val="00260240"/>
    <w:rsid w:val="00261D65"/>
    <w:rsid w:val="00266484"/>
    <w:rsid w:val="0026739E"/>
    <w:rsid w:val="00270C07"/>
    <w:rsid w:val="00271D16"/>
    <w:rsid w:val="00272472"/>
    <w:rsid w:val="002729C4"/>
    <w:rsid w:val="00274310"/>
    <w:rsid w:val="0027559F"/>
    <w:rsid w:val="00277034"/>
    <w:rsid w:val="002825C8"/>
    <w:rsid w:val="00283638"/>
    <w:rsid w:val="00284331"/>
    <w:rsid w:val="00287531"/>
    <w:rsid w:val="002936AF"/>
    <w:rsid w:val="00295742"/>
    <w:rsid w:val="00296627"/>
    <w:rsid w:val="00296ACB"/>
    <w:rsid w:val="002A4083"/>
    <w:rsid w:val="002A6F3F"/>
    <w:rsid w:val="002B0427"/>
    <w:rsid w:val="002B4A73"/>
    <w:rsid w:val="002B723A"/>
    <w:rsid w:val="002B76EB"/>
    <w:rsid w:val="002C4B31"/>
    <w:rsid w:val="002D0F59"/>
    <w:rsid w:val="002D2711"/>
    <w:rsid w:val="002D2883"/>
    <w:rsid w:val="002D2D12"/>
    <w:rsid w:val="002D434B"/>
    <w:rsid w:val="002D577C"/>
    <w:rsid w:val="002E1FA2"/>
    <w:rsid w:val="002E2C52"/>
    <w:rsid w:val="002E2E03"/>
    <w:rsid w:val="002E6002"/>
    <w:rsid w:val="002F3408"/>
    <w:rsid w:val="002F6B26"/>
    <w:rsid w:val="002F6E05"/>
    <w:rsid w:val="002F7638"/>
    <w:rsid w:val="00301594"/>
    <w:rsid w:val="003030F9"/>
    <w:rsid w:val="0030537D"/>
    <w:rsid w:val="003110CB"/>
    <w:rsid w:val="00311E4A"/>
    <w:rsid w:val="00313FD1"/>
    <w:rsid w:val="0032114C"/>
    <w:rsid w:val="00321FB4"/>
    <w:rsid w:val="00333A88"/>
    <w:rsid w:val="0033699B"/>
    <w:rsid w:val="003436AD"/>
    <w:rsid w:val="003513DE"/>
    <w:rsid w:val="00352006"/>
    <w:rsid w:val="00352E27"/>
    <w:rsid w:val="00352E9B"/>
    <w:rsid w:val="00353078"/>
    <w:rsid w:val="00356835"/>
    <w:rsid w:val="0036233D"/>
    <w:rsid w:val="0036336A"/>
    <w:rsid w:val="0036402B"/>
    <w:rsid w:val="00364228"/>
    <w:rsid w:val="00365B78"/>
    <w:rsid w:val="00371AC1"/>
    <w:rsid w:val="00373A4D"/>
    <w:rsid w:val="003745A9"/>
    <w:rsid w:val="00376395"/>
    <w:rsid w:val="00376A7F"/>
    <w:rsid w:val="00377C1A"/>
    <w:rsid w:val="00384714"/>
    <w:rsid w:val="00386BB2"/>
    <w:rsid w:val="0039660B"/>
    <w:rsid w:val="003967B7"/>
    <w:rsid w:val="00396C73"/>
    <w:rsid w:val="00397081"/>
    <w:rsid w:val="003A1749"/>
    <w:rsid w:val="003A1BC9"/>
    <w:rsid w:val="003A46FC"/>
    <w:rsid w:val="003A5183"/>
    <w:rsid w:val="003B19FF"/>
    <w:rsid w:val="003B6417"/>
    <w:rsid w:val="003B6C2C"/>
    <w:rsid w:val="003B73B8"/>
    <w:rsid w:val="003C049E"/>
    <w:rsid w:val="003C0891"/>
    <w:rsid w:val="003C163D"/>
    <w:rsid w:val="003C3782"/>
    <w:rsid w:val="003C478D"/>
    <w:rsid w:val="003D17AE"/>
    <w:rsid w:val="003D4860"/>
    <w:rsid w:val="003D5437"/>
    <w:rsid w:val="003D5D62"/>
    <w:rsid w:val="003D678A"/>
    <w:rsid w:val="003E129C"/>
    <w:rsid w:val="003E32A1"/>
    <w:rsid w:val="003E368F"/>
    <w:rsid w:val="003E3DD4"/>
    <w:rsid w:val="003E4700"/>
    <w:rsid w:val="003E51AA"/>
    <w:rsid w:val="003E700C"/>
    <w:rsid w:val="003F17B9"/>
    <w:rsid w:val="003F1DBB"/>
    <w:rsid w:val="003F625C"/>
    <w:rsid w:val="003F6634"/>
    <w:rsid w:val="00405137"/>
    <w:rsid w:val="00410531"/>
    <w:rsid w:val="004152C0"/>
    <w:rsid w:val="00416915"/>
    <w:rsid w:val="004213D1"/>
    <w:rsid w:val="00425694"/>
    <w:rsid w:val="00425D2C"/>
    <w:rsid w:val="004407BC"/>
    <w:rsid w:val="00441EA9"/>
    <w:rsid w:val="00443624"/>
    <w:rsid w:val="00443757"/>
    <w:rsid w:val="00444DB3"/>
    <w:rsid w:val="0044642B"/>
    <w:rsid w:val="00453C52"/>
    <w:rsid w:val="00456071"/>
    <w:rsid w:val="00461613"/>
    <w:rsid w:val="004618D3"/>
    <w:rsid w:val="00467411"/>
    <w:rsid w:val="00477FE5"/>
    <w:rsid w:val="00480861"/>
    <w:rsid w:val="00481313"/>
    <w:rsid w:val="0048558C"/>
    <w:rsid w:val="0049234A"/>
    <w:rsid w:val="0049404F"/>
    <w:rsid w:val="004979C0"/>
    <w:rsid w:val="004A06FE"/>
    <w:rsid w:val="004A35A7"/>
    <w:rsid w:val="004A53C9"/>
    <w:rsid w:val="004B0200"/>
    <w:rsid w:val="004B27EF"/>
    <w:rsid w:val="004B63E0"/>
    <w:rsid w:val="004B7436"/>
    <w:rsid w:val="004C343E"/>
    <w:rsid w:val="004C75D8"/>
    <w:rsid w:val="004C78F3"/>
    <w:rsid w:val="004D3410"/>
    <w:rsid w:val="004E1CC6"/>
    <w:rsid w:val="004F051C"/>
    <w:rsid w:val="004F109A"/>
    <w:rsid w:val="004F385C"/>
    <w:rsid w:val="004F398B"/>
    <w:rsid w:val="005059BA"/>
    <w:rsid w:val="005149C8"/>
    <w:rsid w:val="0051647D"/>
    <w:rsid w:val="0051777D"/>
    <w:rsid w:val="005232FA"/>
    <w:rsid w:val="00532AC0"/>
    <w:rsid w:val="005366D9"/>
    <w:rsid w:val="005378E5"/>
    <w:rsid w:val="00537B6B"/>
    <w:rsid w:val="00542697"/>
    <w:rsid w:val="00544C2F"/>
    <w:rsid w:val="005478AE"/>
    <w:rsid w:val="00553165"/>
    <w:rsid w:val="0055641B"/>
    <w:rsid w:val="005612AA"/>
    <w:rsid w:val="005623E0"/>
    <w:rsid w:val="00564C3C"/>
    <w:rsid w:val="00564D3B"/>
    <w:rsid w:val="00566938"/>
    <w:rsid w:val="00567CCB"/>
    <w:rsid w:val="00572ACA"/>
    <w:rsid w:val="00576687"/>
    <w:rsid w:val="00583B81"/>
    <w:rsid w:val="005872AC"/>
    <w:rsid w:val="005877C1"/>
    <w:rsid w:val="00593A3C"/>
    <w:rsid w:val="005A3B54"/>
    <w:rsid w:val="005A7B49"/>
    <w:rsid w:val="005B04E0"/>
    <w:rsid w:val="005B46FA"/>
    <w:rsid w:val="005C23A6"/>
    <w:rsid w:val="005C320B"/>
    <w:rsid w:val="005C401A"/>
    <w:rsid w:val="005C421C"/>
    <w:rsid w:val="005C435F"/>
    <w:rsid w:val="005C5904"/>
    <w:rsid w:val="005D140B"/>
    <w:rsid w:val="005D1D2B"/>
    <w:rsid w:val="005D2A2E"/>
    <w:rsid w:val="005D323B"/>
    <w:rsid w:val="005E79D0"/>
    <w:rsid w:val="005F0CEB"/>
    <w:rsid w:val="005F2A8C"/>
    <w:rsid w:val="005F4CF6"/>
    <w:rsid w:val="005F5D5D"/>
    <w:rsid w:val="005F74A6"/>
    <w:rsid w:val="005F7B25"/>
    <w:rsid w:val="006037AC"/>
    <w:rsid w:val="0060615B"/>
    <w:rsid w:val="00607595"/>
    <w:rsid w:val="00607DA1"/>
    <w:rsid w:val="00614ACF"/>
    <w:rsid w:val="00615055"/>
    <w:rsid w:val="006175BC"/>
    <w:rsid w:val="0062034C"/>
    <w:rsid w:val="00622BE2"/>
    <w:rsid w:val="00625F7D"/>
    <w:rsid w:val="006267B7"/>
    <w:rsid w:val="00627CCB"/>
    <w:rsid w:val="00631C5C"/>
    <w:rsid w:val="00641F20"/>
    <w:rsid w:val="00645BBD"/>
    <w:rsid w:val="0065087B"/>
    <w:rsid w:val="0065273E"/>
    <w:rsid w:val="00653EDB"/>
    <w:rsid w:val="006571A1"/>
    <w:rsid w:val="00662E5A"/>
    <w:rsid w:val="00663616"/>
    <w:rsid w:val="00666CD7"/>
    <w:rsid w:val="00680320"/>
    <w:rsid w:val="006809D5"/>
    <w:rsid w:val="0068757D"/>
    <w:rsid w:val="006905C9"/>
    <w:rsid w:val="00690868"/>
    <w:rsid w:val="00691D97"/>
    <w:rsid w:val="0069398D"/>
    <w:rsid w:val="00694B02"/>
    <w:rsid w:val="006A6467"/>
    <w:rsid w:val="006B4921"/>
    <w:rsid w:val="006B50C1"/>
    <w:rsid w:val="006B668B"/>
    <w:rsid w:val="006C2958"/>
    <w:rsid w:val="006C2F59"/>
    <w:rsid w:val="006C7685"/>
    <w:rsid w:val="006C7E24"/>
    <w:rsid w:val="006D6FAA"/>
    <w:rsid w:val="006D7002"/>
    <w:rsid w:val="006E12B6"/>
    <w:rsid w:val="006E7477"/>
    <w:rsid w:val="006F1DAB"/>
    <w:rsid w:val="006F5AE2"/>
    <w:rsid w:val="006F6DA9"/>
    <w:rsid w:val="006F744A"/>
    <w:rsid w:val="00702578"/>
    <w:rsid w:val="0070461E"/>
    <w:rsid w:val="0070498B"/>
    <w:rsid w:val="00706833"/>
    <w:rsid w:val="007117BE"/>
    <w:rsid w:val="00711996"/>
    <w:rsid w:val="007121DF"/>
    <w:rsid w:val="00713354"/>
    <w:rsid w:val="00715BFB"/>
    <w:rsid w:val="00716FCC"/>
    <w:rsid w:val="00725300"/>
    <w:rsid w:val="00726DB6"/>
    <w:rsid w:val="007305E2"/>
    <w:rsid w:val="00731021"/>
    <w:rsid w:val="00735638"/>
    <w:rsid w:val="00737783"/>
    <w:rsid w:val="00742862"/>
    <w:rsid w:val="0074397A"/>
    <w:rsid w:val="00746F76"/>
    <w:rsid w:val="00750A52"/>
    <w:rsid w:val="0075144D"/>
    <w:rsid w:val="007520D3"/>
    <w:rsid w:val="00756FCD"/>
    <w:rsid w:val="00762787"/>
    <w:rsid w:val="00764741"/>
    <w:rsid w:val="00765845"/>
    <w:rsid w:val="00770C83"/>
    <w:rsid w:val="00775A63"/>
    <w:rsid w:val="00777B9C"/>
    <w:rsid w:val="00780B62"/>
    <w:rsid w:val="007862E5"/>
    <w:rsid w:val="00786D94"/>
    <w:rsid w:val="007870FD"/>
    <w:rsid w:val="00787836"/>
    <w:rsid w:val="00790D09"/>
    <w:rsid w:val="0079115D"/>
    <w:rsid w:val="00795801"/>
    <w:rsid w:val="007A1C52"/>
    <w:rsid w:val="007A659E"/>
    <w:rsid w:val="007A665B"/>
    <w:rsid w:val="007B2ACA"/>
    <w:rsid w:val="007B6DBA"/>
    <w:rsid w:val="007C28A4"/>
    <w:rsid w:val="007C48DB"/>
    <w:rsid w:val="007C4942"/>
    <w:rsid w:val="007C59C8"/>
    <w:rsid w:val="007C6359"/>
    <w:rsid w:val="007C64F4"/>
    <w:rsid w:val="007C70A7"/>
    <w:rsid w:val="007D48E9"/>
    <w:rsid w:val="007E4149"/>
    <w:rsid w:val="007E4FFD"/>
    <w:rsid w:val="007F0195"/>
    <w:rsid w:val="007F1C33"/>
    <w:rsid w:val="007F65F2"/>
    <w:rsid w:val="007F7ABD"/>
    <w:rsid w:val="00806905"/>
    <w:rsid w:val="00806BC6"/>
    <w:rsid w:val="008110CC"/>
    <w:rsid w:val="00813592"/>
    <w:rsid w:val="00815008"/>
    <w:rsid w:val="00815DD2"/>
    <w:rsid w:val="00816075"/>
    <w:rsid w:val="00816E74"/>
    <w:rsid w:val="00822BD8"/>
    <w:rsid w:val="00830E24"/>
    <w:rsid w:val="008338F8"/>
    <w:rsid w:val="00835733"/>
    <w:rsid w:val="00837FCF"/>
    <w:rsid w:val="00841374"/>
    <w:rsid w:val="00844288"/>
    <w:rsid w:val="00846F5E"/>
    <w:rsid w:val="00853D28"/>
    <w:rsid w:val="00861792"/>
    <w:rsid w:val="00863073"/>
    <w:rsid w:val="00863DF3"/>
    <w:rsid w:val="00867527"/>
    <w:rsid w:val="008720DC"/>
    <w:rsid w:val="00873174"/>
    <w:rsid w:val="00873DE6"/>
    <w:rsid w:val="00877AE2"/>
    <w:rsid w:val="00880BC1"/>
    <w:rsid w:val="00884579"/>
    <w:rsid w:val="0088796B"/>
    <w:rsid w:val="00890CF2"/>
    <w:rsid w:val="00892488"/>
    <w:rsid w:val="00892BC4"/>
    <w:rsid w:val="00892BDB"/>
    <w:rsid w:val="008A63F8"/>
    <w:rsid w:val="008C0A87"/>
    <w:rsid w:val="008C15F0"/>
    <w:rsid w:val="008C2D60"/>
    <w:rsid w:val="008C3B4D"/>
    <w:rsid w:val="008C5304"/>
    <w:rsid w:val="008C548E"/>
    <w:rsid w:val="008C7440"/>
    <w:rsid w:val="008C7FE9"/>
    <w:rsid w:val="008D4414"/>
    <w:rsid w:val="008D6130"/>
    <w:rsid w:val="008E053A"/>
    <w:rsid w:val="008E36FC"/>
    <w:rsid w:val="008E52E1"/>
    <w:rsid w:val="008E5B7D"/>
    <w:rsid w:val="008E756B"/>
    <w:rsid w:val="008F4031"/>
    <w:rsid w:val="008F643A"/>
    <w:rsid w:val="008F73D3"/>
    <w:rsid w:val="00905FF7"/>
    <w:rsid w:val="00911232"/>
    <w:rsid w:val="009166EA"/>
    <w:rsid w:val="00916849"/>
    <w:rsid w:val="009175C1"/>
    <w:rsid w:val="00921EEE"/>
    <w:rsid w:val="00922EBC"/>
    <w:rsid w:val="00923979"/>
    <w:rsid w:val="00924B46"/>
    <w:rsid w:val="00927433"/>
    <w:rsid w:val="00931D81"/>
    <w:rsid w:val="00933719"/>
    <w:rsid w:val="009355C1"/>
    <w:rsid w:val="00936825"/>
    <w:rsid w:val="00940FEB"/>
    <w:rsid w:val="0094221B"/>
    <w:rsid w:val="0094423A"/>
    <w:rsid w:val="00944C8F"/>
    <w:rsid w:val="00946308"/>
    <w:rsid w:val="00951175"/>
    <w:rsid w:val="00955FDE"/>
    <w:rsid w:val="00956771"/>
    <w:rsid w:val="00966C57"/>
    <w:rsid w:val="009709C9"/>
    <w:rsid w:val="009718C0"/>
    <w:rsid w:val="009749E6"/>
    <w:rsid w:val="00975565"/>
    <w:rsid w:val="00976A33"/>
    <w:rsid w:val="00980360"/>
    <w:rsid w:val="00981D30"/>
    <w:rsid w:val="00981F82"/>
    <w:rsid w:val="009857A9"/>
    <w:rsid w:val="00995628"/>
    <w:rsid w:val="00997E59"/>
    <w:rsid w:val="009A7C6C"/>
    <w:rsid w:val="009B1200"/>
    <w:rsid w:val="009B2B0F"/>
    <w:rsid w:val="009B30EB"/>
    <w:rsid w:val="009B3303"/>
    <w:rsid w:val="009B3EE5"/>
    <w:rsid w:val="009B4164"/>
    <w:rsid w:val="009C2C41"/>
    <w:rsid w:val="009C5D9D"/>
    <w:rsid w:val="009C7F24"/>
    <w:rsid w:val="009D09E4"/>
    <w:rsid w:val="009D65F9"/>
    <w:rsid w:val="009E07AB"/>
    <w:rsid w:val="009E2F85"/>
    <w:rsid w:val="009E638C"/>
    <w:rsid w:val="009E78CD"/>
    <w:rsid w:val="009F3951"/>
    <w:rsid w:val="009F48B3"/>
    <w:rsid w:val="009F51DE"/>
    <w:rsid w:val="009F537C"/>
    <w:rsid w:val="00A03651"/>
    <w:rsid w:val="00A0566D"/>
    <w:rsid w:val="00A06080"/>
    <w:rsid w:val="00A101C9"/>
    <w:rsid w:val="00A17146"/>
    <w:rsid w:val="00A17E9C"/>
    <w:rsid w:val="00A213EF"/>
    <w:rsid w:val="00A233AE"/>
    <w:rsid w:val="00A24A79"/>
    <w:rsid w:val="00A36A97"/>
    <w:rsid w:val="00A37B88"/>
    <w:rsid w:val="00A40912"/>
    <w:rsid w:val="00A40C23"/>
    <w:rsid w:val="00A42415"/>
    <w:rsid w:val="00A44464"/>
    <w:rsid w:val="00A44DD9"/>
    <w:rsid w:val="00A46420"/>
    <w:rsid w:val="00A478C5"/>
    <w:rsid w:val="00A52B00"/>
    <w:rsid w:val="00A53052"/>
    <w:rsid w:val="00A5321E"/>
    <w:rsid w:val="00A53FC6"/>
    <w:rsid w:val="00A56E1C"/>
    <w:rsid w:val="00A57F8B"/>
    <w:rsid w:val="00A62C59"/>
    <w:rsid w:val="00A70CA7"/>
    <w:rsid w:val="00A70DB7"/>
    <w:rsid w:val="00A719AB"/>
    <w:rsid w:val="00A84990"/>
    <w:rsid w:val="00A84ABC"/>
    <w:rsid w:val="00A86E1A"/>
    <w:rsid w:val="00A87120"/>
    <w:rsid w:val="00A926CE"/>
    <w:rsid w:val="00A93A7A"/>
    <w:rsid w:val="00A95275"/>
    <w:rsid w:val="00AA3895"/>
    <w:rsid w:val="00AA7857"/>
    <w:rsid w:val="00AB03DE"/>
    <w:rsid w:val="00AB42A2"/>
    <w:rsid w:val="00AB4BFC"/>
    <w:rsid w:val="00AB74BB"/>
    <w:rsid w:val="00AC1ACE"/>
    <w:rsid w:val="00AC353E"/>
    <w:rsid w:val="00AD6DB0"/>
    <w:rsid w:val="00AE6A45"/>
    <w:rsid w:val="00AF22DB"/>
    <w:rsid w:val="00AF3302"/>
    <w:rsid w:val="00AF4997"/>
    <w:rsid w:val="00AF6BB6"/>
    <w:rsid w:val="00B0108B"/>
    <w:rsid w:val="00B015A2"/>
    <w:rsid w:val="00B0355A"/>
    <w:rsid w:val="00B0422F"/>
    <w:rsid w:val="00B0735D"/>
    <w:rsid w:val="00B07DF8"/>
    <w:rsid w:val="00B20883"/>
    <w:rsid w:val="00B24320"/>
    <w:rsid w:val="00B25D9D"/>
    <w:rsid w:val="00B27296"/>
    <w:rsid w:val="00B35AA8"/>
    <w:rsid w:val="00B37E89"/>
    <w:rsid w:val="00B41453"/>
    <w:rsid w:val="00B43EF3"/>
    <w:rsid w:val="00B44B82"/>
    <w:rsid w:val="00B44F27"/>
    <w:rsid w:val="00B45366"/>
    <w:rsid w:val="00B46BD5"/>
    <w:rsid w:val="00B53AEF"/>
    <w:rsid w:val="00B61B07"/>
    <w:rsid w:val="00B6294B"/>
    <w:rsid w:val="00B63B95"/>
    <w:rsid w:val="00B64097"/>
    <w:rsid w:val="00B65210"/>
    <w:rsid w:val="00B65896"/>
    <w:rsid w:val="00B65C99"/>
    <w:rsid w:val="00B71AE6"/>
    <w:rsid w:val="00B915E6"/>
    <w:rsid w:val="00B94792"/>
    <w:rsid w:val="00BA36EB"/>
    <w:rsid w:val="00BA4B58"/>
    <w:rsid w:val="00BA6C91"/>
    <w:rsid w:val="00BB130E"/>
    <w:rsid w:val="00BB2000"/>
    <w:rsid w:val="00BB40D0"/>
    <w:rsid w:val="00BB44A9"/>
    <w:rsid w:val="00BB497A"/>
    <w:rsid w:val="00BB4E5F"/>
    <w:rsid w:val="00BB5A89"/>
    <w:rsid w:val="00BB7D00"/>
    <w:rsid w:val="00BB7FF0"/>
    <w:rsid w:val="00BC5AA5"/>
    <w:rsid w:val="00BC60FC"/>
    <w:rsid w:val="00BC6C22"/>
    <w:rsid w:val="00BD1043"/>
    <w:rsid w:val="00BD1C1B"/>
    <w:rsid w:val="00BD5959"/>
    <w:rsid w:val="00BD5EE7"/>
    <w:rsid w:val="00BE498C"/>
    <w:rsid w:val="00BE57C2"/>
    <w:rsid w:val="00BE6A81"/>
    <w:rsid w:val="00BF26A7"/>
    <w:rsid w:val="00BF2B60"/>
    <w:rsid w:val="00C00642"/>
    <w:rsid w:val="00C017D7"/>
    <w:rsid w:val="00C02010"/>
    <w:rsid w:val="00C02A32"/>
    <w:rsid w:val="00C06F67"/>
    <w:rsid w:val="00C11EAF"/>
    <w:rsid w:val="00C12BC0"/>
    <w:rsid w:val="00C1455F"/>
    <w:rsid w:val="00C14D91"/>
    <w:rsid w:val="00C15002"/>
    <w:rsid w:val="00C1762F"/>
    <w:rsid w:val="00C2243D"/>
    <w:rsid w:val="00C250F3"/>
    <w:rsid w:val="00C253E7"/>
    <w:rsid w:val="00C37AD1"/>
    <w:rsid w:val="00C401DC"/>
    <w:rsid w:val="00C41A12"/>
    <w:rsid w:val="00C421FE"/>
    <w:rsid w:val="00C42A43"/>
    <w:rsid w:val="00C45DC7"/>
    <w:rsid w:val="00C4747B"/>
    <w:rsid w:val="00C504EC"/>
    <w:rsid w:val="00C53B87"/>
    <w:rsid w:val="00C541BF"/>
    <w:rsid w:val="00C5498F"/>
    <w:rsid w:val="00C57307"/>
    <w:rsid w:val="00C6019B"/>
    <w:rsid w:val="00C63C15"/>
    <w:rsid w:val="00C71A2D"/>
    <w:rsid w:val="00C72FC6"/>
    <w:rsid w:val="00C73234"/>
    <w:rsid w:val="00C74C54"/>
    <w:rsid w:val="00C76B6D"/>
    <w:rsid w:val="00C821DE"/>
    <w:rsid w:val="00C8224B"/>
    <w:rsid w:val="00C82B07"/>
    <w:rsid w:val="00C83A83"/>
    <w:rsid w:val="00C8535F"/>
    <w:rsid w:val="00C916C1"/>
    <w:rsid w:val="00C93F0A"/>
    <w:rsid w:val="00C93F6B"/>
    <w:rsid w:val="00C95FA1"/>
    <w:rsid w:val="00CA1EE1"/>
    <w:rsid w:val="00CA391C"/>
    <w:rsid w:val="00CA5304"/>
    <w:rsid w:val="00CA5D93"/>
    <w:rsid w:val="00CB02A1"/>
    <w:rsid w:val="00CB0D9E"/>
    <w:rsid w:val="00CB3458"/>
    <w:rsid w:val="00CB421F"/>
    <w:rsid w:val="00CB4E03"/>
    <w:rsid w:val="00CB7FA7"/>
    <w:rsid w:val="00CC1F54"/>
    <w:rsid w:val="00CC35E3"/>
    <w:rsid w:val="00CC3859"/>
    <w:rsid w:val="00CC66D9"/>
    <w:rsid w:val="00CC71BF"/>
    <w:rsid w:val="00CD0C49"/>
    <w:rsid w:val="00CD21EA"/>
    <w:rsid w:val="00CD3557"/>
    <w:rsid w:val="00CD3A12"/>
    <w:rsid w:val="00CE0A20"/>
    <w:rsid w:val="00CE347C"/>
    <w:rsid w:val="00CE6DA8"/>
    <w:rsid w:val="00CF1B29"/>
    <w:rsid w:val="00CF40BF"/>
    <w:rsid w:val="00CF50C8"/>
    <w:rsid w:val="00CF6D27"/>
    <w:rsid w:val="00D00932"/>
    <w:rsid w:val="00D0405F"/>
    <w:rsid w:val="00D04E3E"/>
    <w:rsid w:val="00D05F40"/>
    <w:rsid w:val="00D103E2"/>
    <w:rsid w:val="00D12C88"/>
    <w:rsid w:val="00D13F53"/>
    <w:rsid w:val="00D14ED4"/>
    <w:rsid w:val="00D20482"/>
    <w:rsid w:val="00D20881"/>
    <w:rsid w:val="00D20DE9"/>
    <w:rsid w:val="00D25794"/>
    <w:rsid w:val="00D3548D"/>
    <w:rsid w:val="00D36DDC"/>
    <w:rsid w:val="00D376EA"/>
    <w:rsid w:val="00D40616"/>
    <w:rsid w:val="00D44EEE"/>
    <w:rsid w:val="00D5074A"/>
    <w:rsid w:val="00D564AE"/>
    <w:rsid w:val="00D569C4"/>
    <w:rsid w:val="00D60C80"/>
    <w:rsid w:val="00D6104C"/>
    <w:rsid w:val="00D63C0E"/>
    <w:rsid w:val="00D64051"/>
    <w:rsid w:val="00D66378"/>
    <w:rsid w:val="00D67172"/>
    <w:rsid w:val="00D67553"/>
    <w:rsid w:val="00D76082"/>
    <w:rsid w:val="00D82681"/>
    <w:rsid w:val="00D827DD"/>
    <w:rsid w:val="00D830C0"/>
    <w:rsid w:val="00D91468"/>
    <w:rsid w:val="00D966E3"/>
    <w:rsid w:val="00D974D1"/>
    <w:rsid w:val="00DA13D4"/>
    <w:rsid w:val="00DA3116"/>
    <w:rsid w:val="00DA50FB"/>
    <w:rsid w:val="00DB063D"/>
    <w:rsid w:val="00DB2256"/>
    <w:rsid w:val="00DB23A6"/>
    <w:rsid w:val="00DB42D0"/>
    <w:rsid w:val="00DB654E"/>
    <w:rsid w:val="00DC12A6"/>
    <w:rsid w:val="00DC2B94"/>
    <w:rsid w:val="00DC3924"/>
    <w:rsid w:val="00DC3BAA"/>
    <w:rsid w:val="00DC3E7B"/>
    <w:rsid w:val="00DC5DD0"/>
    <w:rsid w:val="00DC681C"/>
    <w:rsid w:val="00DC78D2"/>
    <w:rsid w:val="00DC79A8"/>
    <w:rsid w:val="00DD1F75"/>
    <w:rsid w:val="00DD4E8A"/>
    <w:rsid w:val="00DD6E8B"/>
    <w:rsid w:val="00DE462E"/>
    <w:rsid w:val="00DE7783"/>
    <w:rsid w:val="00DF1830"/>
    <w:rsid w:val="00DF6799"/>
    <w:rsid w:val="00E00754"/>
    <w:rsid w:val="00E04C3A"/>
    <w:rsid w:val="00E051B8"/>
    <w:rsid w:val="00E06209"/>
    <w:rsid w:val="00E06976"/>
    <w:rsid w:val="00E07782"/>
    <w:rsid w:val="00E107E5"/>
    <w:rsid w:val="00E12522"/>
    <w:rsid w:val="00E140CF"/>
    <w:rsid w:val="00E1468D"/>
    <w:rsid w:val="00E14B45"/>
    <w:rsid w:val="00E21A72"/>
    <w:rsid w:val="00E21C8C"/>
    <w:rsid w:val="00E44943"/>
    <w:rsid w:val="00E50AB7"/>
    <w:rsid w:val="00E50FE5"/>
    <w:rsid w:val="00E51F64"/>
    <w:rsid w:val="00E56125"/>
    <w:rsid w:val="00E61D31"/>
    <w:rsid w:val="00E67764"/>
    <w:rsid w:val="00E67CBE"/>
    <w:rsid w:val="00E81027"/>
    <w:rsid w:val="00E822AC"/>
    <w:rsid w:val="00E903EC"/>
    <w:rsid w:val="00E948E9"/>
    <w:rsid w:val="00E94AA5"/>
    <w:rsid w:val="00E95A9A"/>
    <w:rsid w:val="00E95FB8"/>
    <w:rsid w:val="00EA0A19"/>
    <w:rsid w:val="00EA14B6"/>
    <w:rsid w:val="00EA4C32"/>
    <w:rsid w:val="00EA5AD9"/>
    <w:rsid w:val="00EA716E"/>
    <w:rsid w:val="00EB04C2"/>
    <w:rsid w:val="00EB05F6"/>
    <w:rsid w:val="00EB273C"/>
    <w:rsid w:val="00EB3726"/>
    <w:rsid w:val="00EB7EB5"/>
    <w:rsid w:val="00EC3171"/>
    <w:rsid w:val="00EC521A"/>
    <w:rsid w:val="00EC6F8A"/>
    <w:rsid w:val="00EC7BDD"/>
    <w:rsid w:val="00ED2BC2"/>
    <w:rsid w:val="00ED3DBD"/>
    <w:rsid w:val="00EE0D89"/>
    <w:rsid w:val="00EE3187"/>
    <w:rsid w:val="00EE7D6A"/>
    <w:rsid w:val="00EF269F"/>
    <w:rsid w:val="00EF5786"/>
    <w:rsid w:val="00EF775D"/>
    <w:rsid w:val="00F017C6"/>
    <w:rsid w:val="00F034CF"/>
    <w:rsid w:val="00F1152F"/>
    <w:rsid w:val="00F11687"/>
    <w:rsid w:val="00F12480"/>
    <w:rsid w:val="00F204C6"/>
    <w:rsid w:val="00F213B4"/>
    <w:rsid w:val="00F2249D"/>
    <w:rsid w:val="00F225FD"/>
    <w:rsid w:val="00F23414"/>
    <w:rsid w:val="00F2491E"/>
    <w:rsid w:val="00F30780"/>
    <w:rsid w:val="00F30FF6"/>
    <w:rsid w:val="00F31B61"/>
    <w:rsid w:val="00F35F4B"/>
    <w:rsid w:val="00F452C4"/>
    <w:rsid w:val="00F45787"/>
    <w:rsid w:val="00F47BCB"/>
    <w:rsid w:val="00F551F8"/>
    <w:rsid w:val="00F55D6C"/>
    <w:rsid w:val="00F610E4"/>
    <w:rsid w:val="00F72B2B"/>
    <w:rsid w:val="00F741F0"/>
    <w:rsid w:val="00F77A75"/>
    <w:rsid w:val="00F800DE"/>
    <w:rsid w:val="00F810E5"/>
    <w:rsid w:val="00F839B9"/>
    <w:rsid w:val="00F92E89"/>
    <w:rsid w:val="00F95904"/>
    <w:rsid w:val="00FA02DF"/>
    <w:rsid w:val="00FA2EFA"/>
    <w:rsid w:val="00FA3200"/>
    <w:rsid w:val="00FB0150"/>
    <w:rsid w:val="00FB55CF"/>
    <w:rsid w:val="00FB5679"/>
    <w:rsid w:val="00FB5D51"/>
    <w:rsid w:val="00FD017B"/>
    <w:rsid w:val="00FD2C98"/>
    <w:rsid w:val="00FD5ABB"/>
    <w:rsid w:val="00FD7852"/>
    <w:rsid w:val="00FE39C9"/>
    <w:rsid w:val="00FE4EEA"/>
    <w:rsid w:val="00FF1A4E"/>
    <w:rsid w:val="00FF24A7"/>
    <w:rsid w:val="00FF2924"/>
    <w:rsid w:val="00FF31C1"/>
    <w:rsid w:val="00FF44FD"/>
    <w:rsid w:val="00FF54B8"/>
    <w:rsid w:val="00FF5D41"/>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97979"/>
  <w15:docId w15:val="{084D21E5-8F80-4BCE-BE3C-B9E71928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7A"/>
    <w:rPr>
      <w:rFonts w:ascii="Times New Roman" w:hAnsi="Times New Roman"/>
      <w:sz w:val="24"/>
      <w:szCs w:val="24"/>
      <w:lang w:val="en-US"/>
    </w:rPr>
  </w:style>
  <w:style w:type="paragraph" w:styleId="Balk2">
    <w:name w:val="heading 2"/>
    <w:basedOn w:val="Normal"/>
    <w:link w:val="Balk2Char"/>
    <w:qFormat/>
    <w:rsid w:val="00E21A72"/>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E21A72"/>
    <w:rPr>
      <w:rFonts w:ascii="Times New Roman" w:hAnsi="Times New Roman" w:cs="Times New Roman"/>
      <w:b/>
      <w:bCs/>
      <w:sz w:val="36"/>
      <w:szCs w:val="36"/>
      <w:lang w:eastAsia="tr-TR"/>
    </w:rPr>
  </w:style>
  <w:style w:type="paragraph" w:styleId="HTMLncedenBiimlendirilmi">
    <w:name w:val="HTML Preformatted"/>
    <w:basedOn w:val="Normal"/>
    <w:link w:val="HTMLncedenBiimlendirilmiChar"/>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ncedenBiimlendirilmiChar">
    <w:name w:val="HTML Önceden Biçimlendirilmiş Char"/>
    <w:link w:val="HTMLncedenBiimlendirilmi"/>
    <w:locked/>
    <w:rsid w:val="0074397A"/>
    <w:rPr>
      <w:rFonts w:ascii="Verdana" w:hAnsi="Verdana" w:cs="Courier New"/>
      <w:color w:val="000000"/>
      <w:lang w:eastAsia="tr-TR"/>
    </w:rPr>
  </w:style>
  <w:style w:type="paragraph" w:styleId="Altbilgi">
    <w:name w:val="footer"/>
    <w:basedOn w:val="Normal"/>
    <w:link w:val="AltbilgiChar"/>
    <w:rsid w:val="0074397A"/>
    <w:pPr>
      <w:tabs>
        <w:tab w:val="center" w:pos="4536"/>
        <w:tab w:val="right" w:pos="9072"/>
      </w:tabs>
    </w:pPr>
  </w:style>
  <w:style w:type="character" w:customStyle="1" w:styleId="AltbilgiChar">
    <w:name w:val="Altbilgi Char"/>
    <w:link w:val="Altbilgi"/>
    <w:locked/>
    <w:rsid w:val="0074397A"/>
    <w:rPr>
      <w:rFonts w:ascii="Times New Roman" w:hAnsi="Times New Roman" w:cs="Times New Roman"/>
      <w:sz w:val="24"/>
      <w:szCs w:val="24"/>
      <w:lang w:eastAsia="tr-TR"/>
    </w:rPr>
  </w:style>
  <w:style w:type="character" w:styleId="SayfaNumaras">
    <w:name w:val="page number"/>
    <w:rsid w:val="0074397A"/>
    <w:rPr>
      <w:rFonts w:cs="Times New Roman"/>
    </w:rPr>
  </w:style>
  <w:style w:type="paragraph" w:styleId="NormalWeb">
    <w:name w:val="Normal (Web)"/>
    <w:basedOn w:val="Normal"/>
    <w:rsid w:val="00A24A79"/>
    <w:pPr>
      <w:spacing w:before="100" w:beforeAutospacing="1" w:after="100" w:afterAutospacing="1"/>
    </w:pPr>
    <w:rPr>
      <w:rFonts w:ascii="Arial Unicode MS" w:eastAsia="Times New Roman" w:hAnsi="Arial Unicode MS" w:cs="Arial Unicode MS"/>
    </w:rPr>
  </w:style>
  <w:style w:type="character" w:styleId="Gl">
    <w:name w:val="Strong"/>
    <w:qFormat/>
    <w:rsid w:val="00A24A79"/>
    <w:rPr>
      <w:rFonts w:cs="Times New Roman"/>
      <w:b/>
      <w:bCs/>
    </w:rPr>
  </w:style>
  <w:style w:type="paragraph" w:customStyle="1" w:styleId="Default">
    <w:name w:val="Default"/>
    <w:rsid w:val="00C95FA1"/>
    <w:pPr>
      <w:autoSpaceDE w:val="0"/>
      <w:autoSpaceDN w:val="0"/>
      <w:adjustRightInd w:val="0"/>
    </w:pPr>
    <w:rPr>
      <w:rFonts w:ascii="Arial" w:eastAsia="Times New Roman" w:hAnsi="Arial" w:cs="Arial"/>
      <w:color w:val="000000"/>
      <w:sz w:val="24"/>
      <w:szCs w:val="24"/>
      <w:lang w:eastAsia="en-US"/>
    </w:rPr>
  </w:style>
  <w:style w:type="table" w:styleId="TabloKlavuzu">
    <w:name w:val="Table Grid"/>
    <w:basedOn w:val="NormalTablo"/>
    <w:rsid w:val="00C95F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F2924"/>
    <w:pPr>
      <w:tabs>
        <w:tab w:val="center" w:pos="4536"/>
        <w:tab w:val="right" w:pos="9072"/>
      </w:tabs>
    </w:pPr>
  </w:style>
  <w:style w:type="character" w:customStyle="1" w:styleId="stbilgiChar">
    <w:name w:val="Üstbilgi Char"/>
    <w:link w:val="stbilgi"/>
    <w:locked/>
    <w:rsid w:val="00FF2924"/>
    <w:rPr>
      <w:rFonts w:ascii="Times New Roman" w:hAnsi="Times New Roman" w:cs="Times New Roman"/>
      <w:sz w:val="24"/>
      <w:szCs w:val="24"/>
      <w:lang w:eastAsia="tr-TR"/>
    </w:rPr>
  </w:style>
  <w:style w:type="paragraph" w:styleId="ListeParagraf">
    <w:name w:val="List Paragraph"/>
    <w:basedOn w:val="Normal"/>
    <w:qFormat/>
    <w:rsid w:val="00764741"/>
    <w:pPr>
      <w:ind w:left="720"/>
      <w:contextualSpacing/>
    </w:pPr>
  </w:style>
  <w:style w:type="character" w:styleId="Kpr">
    <w:name w:val="Hyperlink"/>
    <w:semiHidden/>
    <w:rsid w:val="00E21A72"/>
    <w:rPr>
      <w:rFonts w:cs="Times New Roman"/>
      <w:color w:val="0000FF"/>
      <w:u w:val="single"/>
    </w:rPr>
  </w:style>
  <w:style w:type="paragraph" w:styleId="AralkYok">
    <w:name w:val="No Spacing"/>
    <w:qFormat/>
    <w:rsid w:val="0051777D"/>
    <w:rPr>
      <w:rFonts w:eastAsia="Times New Roman" w:cs="Calibri"/>
      <w:sz w:val="22"/>
      <w:szCs w:val="22"/>
      <w:lang w:eastAsia="en-US"/>
    </w:rPr>
  </w:style>
  <w:style w:type="character" w:customStyle="1" w:styleId="il">
    <w:name w:val="il"/>
    <w:basedOn w:val="VarsaylanParagrafYazTipi"/>
    <w:rsid w:val="002E1FA2"/>
  </w:style>
  <w:style w:type="paragraph" w:styleId="BalonMetni">
    <w:name w:val="Balloon Text"/>
    <w:basedOn w:val="Normal"/>
    <w:link w:val="BalonMetniChar"/>
    <w:semiHidden/>
    <w:unhideWhenUsed/>
    <w:rsid w:val="00C57307"/>
    <w:rPr>
      <w:rFonts w:ascii="Segoe UI" w:hAnsi="Segoe UI" w:cs="Segoe UI"/>
      <w:sz w:val="18"/>
      <w:szCs w:val="18"/>
    </w:rPr>
  </w:style>
  <w:style w:type="character" w:customStyle="1" w:styleId="BalonMetniChar">
    <w:name w:val="Balon Metni Char"/>
    <w:basedOn w:val="VarsaylanParagrafYazTipi"/>
    <w:link w:val="BalonMetni"/>
    <w:semiHidden/>
    <w:rsid w:val="00C57307"/>
    <w:rPr>
      <w:rFonts w:ascii="Segoe UI" w:hAnsi="Segoe UI" w:cs="Segoe UI"/>
      <w:sz w:val="18"/>
      <w:szCs w:val="18"/>
      <w:lang w:val="en-US"/>
    </w:rPr>
  </w:style>
  <w:style w:type="character" w:customStyle="1" w:styleId="apple-converted-space">
    <w:name w:val="apple-converted-space"/>
    <w:basedOn w:val="VarsaylanParagrafYazTipi"/>
    <w:rsid w:val="00715BFB"/>
  </w:style>
  <w:style w:type="paragraph" w:styleId="GvdeMetni">
    <w:name w:val="Body Text"/>
    <w:basedOn w:val="Normal"/>
    <w:link w:val="GvdeMetniChar"/>
    <w:rsid w:val="00CA5D93"/>
    <w:pPr>
      <w:widowControl w:val="0"/>
      <w:suppressAutoHyphens/>
      <w:spacing w:after="283"/>
    </w:pPr>
    <w:rPr>
      <w:rFonts w:ascii="Liberation Serif" w:eastAsia="DejaVu Sans" w:hAnsi="Liberation Serif" w:cs="DejaVu Sans"/>
      <w:lang w:eastAsia="zh-CN" w:bidi="hi-IN"/>
    </w:rPr>
  </w:style>
  <w:style w:type="character" w:customStyle="1" w:styleId="GvdeMetniChar">
    <w:name w:val="Gövde Metni Char"/>
    <w:basedOn w:val="VarsaylanParagrafYazTipi"/>
    <w:link w:val="GvdeMetni"/>
    <w:rsid w:val="00CA5D93"/>
    <w:rPr>
      <w:rFonts w:ascii="Liberation Serif" w:eastAsia="DejaVu Sans" w:hAnsi="Liberation Serif" w:cs="DejaVu Sans"/>
      <w:sz w:val="24"/>
      <w:szCs w:val="24"/>
      <w:lang w:val="en-US" w:eastAsia="zh-CN" w:bidi="hi-IN"/>
    </w:rPr>
  </w:style>
  <w:style w:type="paragraph" w:styleId="AklamaMetni">
    <w:name w:val="annotation text"/>
    <w:basedOn w:val="Normal"/>
    <w:link w:val="AklamaMetniChar"/>
    <w:semiHidden/>
    <w:unhideWhenUsed/>
    <w:rPr>
      <w:sz w:val="20"/>
      <w:szCs w:val="20"/>
    </w:rPr>
  </w:style>
  <w:style w:type="character" w:customStyle="1" w:styleId="AklamaMetniChar">
    <w:name w:val="Açıklama Metni Char"/>
    <w:basedOn w:val="VarsaylanParagrafYazTipi"/>
    <w:link w:val="AklamaMetni"/>
    <w:semiHidden/>
    <w:rPr>
      <w:rFonts w:ascii="Times New Roman" w:hAnsi="Times New Roman"/>
      <w:lang w:val="en-US"/>
    </w:rPr>
  </w:style>
  <w:style w:type="character" w:styleId="AklamaBavurusu">
    <w:name w:val="annotation reference"/>
    <w:basedOn w:val="VarsaylanParagrafYazTipi"/>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6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10608</TotalTime>
  <Pages>4</Pages>
  <Words>949</Words>
  <Characters>5413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Lecture Notes of</vt:lpstr>
      <vt:lpstr>Lecture Notes of</vt:lpstr>
    </vt:vector>
  </TitlesOfParts>
  <Company>YTU</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of</dc:title>
  <dc:subject/>
  <dc:creator>HP_7800</dc:creator>
  <cp:keywords/>
  <dc:description/>
  <cp:lastModifiedBy>Burak Ünveren</cp:lastModifiedBy>
  <cp:revision>37</cp:revision>
  <cp:lastPrinted>2016-09-19T12:52:00Z</cp:lastPrinted>
  <dcterms:created xsi:type="dcterms:W3CDTF">2019-10-07T10:07:00Z</dcterms:created>
  <dcterms:modified xsi:type="dcterms:W3CDTF">2021-11-09T14:45:00Z</dcterms:modified>
</cp:coreProperties>
</file>