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FE" w:rsidRDefault="008E5CD3" w:rsidP="008E5CD3">
      <w:pPr>
        <w:pStyle w:val="Default"/>
        <w:spacing w:line="360" w:lineRule="auto"/>
        <w:rPr>
          <w:sz w:val="22"/>
          <w:szCs w:val="22"/>
          <w:lang w:val="en-US"/>
        </w:rPr>
      </w:pPr>
      <w:bookmarkStart w:id="0" w:name="_GoBack"/>
      <w:bookmarkEnd w:id="0"/>
      <w:r w:rsidRPr="008E5CD3">
        <w:rPr>
          <w:sz w:val="22"/>
          <w:szCs w:val="22"/>
          <w:lang w:val="en-US"/>
        </w:rPr>
        <w:t xml:space="preserve">Suppose that you provide consultancy service to a certain firm. When you visit the production plant, you ask the manager whether the technology that they use exhibits increasing, </w:t>
      </w:r>
      <w:proofErr w:type="gramStart"/>
      <w:r w:rsidRPr="008E5CD3">
        <w:rPr>
          <w:sz w:val="22"/>
          <w:szCs w:val="22"/>
          <w:lang w:val="en-US"/>
        </w:rPr>
        <w:t>constant ,</w:t>
      </w:r>
      <w:proofErr w:type="gramEnd"/>
      <w:r w:rsidRPr="008E5CD3">
        <w:rPr>
          <w:sz w:val="22"/>
          <w:szCs w:val="22"/>
          <w:lang w:val="en-US"/>
        </w:rPr>
        <w:t xml:space="preserve"> or decreasing returns to scale. </w:t>
      </w:r>
      <w:r w:rsidR="004130FE">
        <w:rPr>
          <w:sz w:val="22"/>
          <w:szCs w:val="22"/>
          <w:lang w:val="en-US"/>
        </w:rPr>
        <w:t>If the technology is given by:</w:t>
      </w:r>
    </w:p>
    <w:p w:rsidR="004130FE" w:rsidRDefault="004130FE" w:rsidP="008E5CD3">
      <w:pPr>
        <w:pStyle w:val="Default"/>
        <w:spacing w:line="360" w:lineRule="auto"/>
        <w:rPr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L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a</m:t>
              </m:r>
            </m:sup>
          </m:sSup>
        </m:oMath>
      </m:oMathPara>
    </w:p>
    <w:p w:rsidR="008E5CD3" w:rsidRDefault="004130FE" w:rsidP="008E5CD3">
      <w:pPr>
        <w:pStyle w:val="Default"/>
        <w:spacing w:line="360" w:lineRule="auto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f</w:t>
      </w:r>
      <w:r w:rsidR="008E5CD3" w:rsidRPr="008E5CD3">
        <w:rPr>
          <w:sz w:val="22"/>
          <w:szCs w:val="22"/>
          <w:lang w:val="en-US"/>
        </w:rPr>
        <w:t>ind</w:t>
      </w:r>
      <w:proofErr w:type="gramEnd"/>
      <w:r w:rsidR="008E5CD3" w:rsidRPr="008E5CD3">
        <w:rPr>
          <w:sz w:val="22"/>
          <w:szCs w:val="22"/>
          <w:lang w:val="en-US"/>
        </w:rPr>
        <w:t xml:space="preserve"> the range of the parameter a according to the answers of the manager below: </w:t>
      </w:r>
    </w:p>
    <w:p w:rsidR="00274C70" w:rsidRDefault="00274C70" w:rsidP="008E5CD3">
      <w:pPr>
        <w:pStyle w:val="Default"/>
        <w:spacing w:line="360" w:lineRule="auto"/>
        <w:rPr>
          <w:sz w:val="22"/>
          <w:szCs w:val="22"/>
          <w:lang w:val="en-US"/>
        </w:rPr>
      </w:pPr>
    </w:p>
    <w:p w:rsidR="00274C70" w:rsidRDefault="00274C70" w:rsidP="008E5CD3">
      <w:pPr>
        <w:pStyle w:val="Default"/>
        <w:spacing w:line="360" w:lineRule="auto"/>
        <w:rPr>
          <w:sz w:val="22"/>
          <w:szCs w:val="22"/>
          <w:lang w:val="en-US"/>
        </w:rPr>
      </w:pPr>
    </w:p>
    <w:p w:rsidR="00274C70" w:rsidRPr="008E5CD3" w:rsidRDefault="00274C70" w:rsidP="008E5CD3">
      <w:pPr>
        <w:pStyle w:val="Default"/>
        <w:spacing w:line="360" w:lineRule="auto"/>
        <w:rPr>
          <w:sz w:val="22"/>
          <w:szCs w:val="22"/>
          <w:lang w:val="en-US"/>
        </w:rPr>
      </w:pPr>
    </w:p>
    <w:p w:rsidR="008E5CD3" w:rsidRPr="008E5CD3" w:rsidRDefault="008E5CD3" w:rsidP="008E5CD3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  <w:lang w:val="en-US"/>
        </w:rPr>
      </w:pPr>
      <w:r w:rsidRPr="008E5CD3">
        <w:rPr>
          <w:sz w:val="22"/>
          <w:szCs w:val="22"/>
          <w:lang w:val="en-US"/>
        </w:rPr>
        <w:t xml:space="preserve">“We have DRS because our revenues are less than doubled if we would double our output”. </w:t>
      </w:r>
    </w:p>
    <w:p w:rsidR="008E5CD3" w:rsidRPr="008E5CD3" w:rsidRDefault="008E5CD3" w:rsidP="008E5CD3">
      <w:pPr>
        <w:pStyle w:val="Default"/>
        <w:spacing w:line="360" w:lineRule="auto"/>
        <w:rPr>
          <w:sz w:val="22"/>
          <w:szCs w:val="22"/>
          <w:lang w:val="en-US"/>
        </w:rPr>
      </w:pPr>
    </w:p>
    <w:p w:rsidR="008E5CD3" w:rsidRPr="008E5CD3" w:rsidRDefault="008E5CD3" w:rsidP="008E5CD3">
      <w:pPr>
        <w:pStyle w:val="Default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Answer: </w:t>
      </w:r>
      <w:r w:rsidRPr="008E5CD3">
        <w:rPr>
          <w:sz w:val="22"/>
          <w:szCs w:val="22"/>
          <w:lang w:val="en-US"/>
        </w:rPr>
        <w:t xml:space="preserve">Doubling output would always cause less than doubled revenues under negatively sloped demand curve. </w:t>
      </w:r>
      <w:r>
        <w:rPr>
          <w:sz w:val="22"/>
          <w:szCs w:val="22"/>
          <w:lang w:val="en-US"/>
        </w:rPr>
        <w:t xml:space="preserve">This has nothing to do with returns to scale. </w:t>
      </w:r>
      <w:r w:rsidRPr="008E5CD3">
        <w:rPr>
          <w:sz w:val="22"/>
          <w:szCs w:val="22"/>
          <w:lang w:val="en-US"/>
        </w:rPr>
        <w:t>That is because; revenue is defined as:</w:t>
      </w:r>
    </w:p>
    <w:p w:rsidR="008E5CD3" w:rsidRPr="008E5CD3" w:rsidRDefault="008E5CD3" w:rsidP="008E5CD3">
      <w:pPr>
        <w:pStyle w:val="Default"/>
        <w:spacing w:line="360" w:lineRule="auto"/>
        <w:rPr>
          <w:rFonts w:eastAsiaTheme="minorEastAsia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>×Y</m:t>
          </m:r>
          <m:r>
            <w:rPr>
              <w:rFonts w:ascii="Cambria Math" w:eastAsiaTheme="minorEastAsia" w:hAnsi="Cambria Math"/>
              <w:sz w:val="22"/>
              <w:szCs w:val="22"/>
              <w:lang w:val="en-US"/>
            </w:rPr>
            <m:t>.</m:t>
          </m:r>
        </m:oMath>
      </m:oMathPara>
    </w:p>
    <w:p w:rsidR="008E5CD3" w:rsidRDefault="008E5CD3" w:rsidP="008E5CD3">
      <w:pPr>
        <w:pStyle w:val="Default"/>
        <w:spacing w:line="360" w:lineRule="auto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The manager simply says:</w:t>
      </w:r>
    </w:p>
    <w:p w:rsidR="008E5CD3" w:rsidRPr="004130FE" w:rsidRDefault="004130FE" w:rsidP="008E5CD3">
      <w:pPr>
        <w:pStyle w:val="Default"/>
        <w:spacing w:line="360" w:lineRule="auto"/>
        <w:rPr>
          <w:rFonts w:eastAsiaTheme="minorEastAsia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2×(</m:t>
          </m:r>
          <m:r>
            <w:rPr>
              <w:rFonts w:ascii="Cambria Math" w:hAnsi="Cambria Math"/>
              <w:sz w:val="22"/>
              <w:szCs w:val="22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>×Y</m:t>
          </m:r>
          <m:r>
            <w:rPr>
              <w:rFonts w:ascii="Cambria Math" w:hAnsi="Cambria Math"/>
              <w:sz w:val="22"/>
              <w:szCs w:val="22"/>
              <w:lang w:val="en-US"/>
            </w:rPr>
            <m:t>)&gt;</m:t>
          </m:r>
          <m:r>
            <w:rPr>
              <w:rFonts w:ascii="Cambria Math" w:hAnsi="Cambria Math"/>
              <w:sz w:val="22"/>
              <w:szCs w:val="22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>×</m:t>
          </m:r>
          <m:r>
            <w:rPr>
              <w:rFonts w:ascii="Cambria Math" w:hAnsi="Cambria Math"/>
              <w:sz w:val="22"/>
              <w:szCs w:val="22"/>
              <w:lang w:val="en-US"/>
            </w:rPr>
            <m:t>2</m:t>
          </m:r>
          <m:r>
            <w:rPr>
              <w:rFonts w:ascii="Cambria Math" w:hAnsi="Cambria Math"/>
              <w:sz w:val="22"/>
              <w:szCs w:val="22"/>
              <w:lang w:val="en-US"/>
            </w:rPr>
            <m:t>Y</m:t>
          </m:r>
          <m:r>
            <w:rPr>
              <w:rFonts w:ascii="Cambria Math" w:eastAsiaTheme="minorEastAsia" w:hAnsi="Cambria Math"/>
              <w:sz w:val="22"/>
              <w:szCs w:val="22"/>
              <w:lang w:val="en-US"/>
            </w:rPr>
            <m:t>.</m:t>
          </m:r>
        </m:oMath>
      </m:oMathPara>
    </w:p>
    <w:p w:rsidR="004130FE" w:rsidRDefault="004130FE" w:rsidP="008E5CD3">
      <w:pPr>
        <w:pStyle w:val="Default"/>
        <w:spacing w:line="360" w:lineRule="auto"/>
        <w:rPr>
          <w:rFonts w:eastAsiaTheme="minorEastAsia"/>
          <w:sz w:val="22"/>
          <w:szCs w:val="22"/>
          <w:lang w:val="en-US"/>
        </w:rPr>
      </w:pPr>
      <w:r>
        <w:rPr>
          <w:rFonts w:eastAsiaTheme="minorEastAsia"/>
          <w:sz w:val="22"/>
          <w:szCs w:val="22"/>
          <w:lang w:val="en-US"/>
        </w:rPr>
        <w:t>This can be reduced to:</w:t>
      </w:r>
    </w:p>
    <w:p w:rsidR="004130FE" w:rsidRPr="008E5CD3" w:rsidRDefault="004130FE" w:rsidP="008E5CD3">
      <w:pPr>
        <w:pStyle w:val="Default"/>
        <w:spacing w:line="360" w:lineRule="auto"/>
        <w:rPr>
          <w:rFonts w:eastAsiaTheme="minorEastAsia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</m:e>
          </m:d>
          <m:r>
            <w:rPr>
              <w:rFonts w:ascii="Cambria Math" w:hAnsi="Cambria Math"/>
              <w:sz w:val="22"/>
              <w:szCs w:val="22"/>
              <w:lang w:val="en-US"/>
            </w:rPr>
            <m:t>&gt;</m:t>
          </m:r>
          <m:r>
            <w:rPr>
              <w:rFonts w:ascii="Cambria Math" w:hAnsi="Cambria Math"/>
              <w:sz w:val="22"/>
              <w:szCs w:val="22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2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Y</m:t>
              </m:r>
            </m:e>
          </m:d>
        </m:oMath>
      </m:oMathPara>
    </w:p>
    <w:p w:rsidR="008E5CD3" w:rsidRDefault="004130FE" w:rsidP="008E5CD3">
      <w:pPr>
        <w:pStyle w:val="Default"/>
        <w:spacing w:line="360" w:lineRule="auto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which</w:t>
      </w:r>
      <w:proofErr w:type="gramEnd"/>
      <w:r>
        <w:rPr>
          <w:sz w:val="22"/>
          <w:szCs w:val="22"/>
          <w:lang w:val="en-US"/>
        </w:rPr>
        <w:t xml:space="preserve"> means “higher output decreases prices”. This is, however, the law of demand which is irrelevant to returns to scale. </w:t>
      </w:r>
    </w:p>
    <w:p w:rsidR="004130FE" w:rsidRPr="008E5CD3" w:rsidRDefault="004130FE" w:rsidP="008E5CD3">
      <w:pPr>
        <w:pStyle w:val="Default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 that case, we cannot determine the value </w:t>
      </w:r>
      <w:proofErr w:type="gramStart"/>
      <w:r>
        <w:rPr>
          <w:sz w:val="22"/>
          <w:szCs w:val="22"/>
          <w:lang w:val="en-US"/>
        </w:rPr>
        <w:t xml:space="preserve">of </w:t>
      </w:r>
      <w:proofErr w:type="gramEnd"/>
      <m:oMath>
        <m:r>
          <w:rPr>
            <w:rFonts w:ascii="Cambria Math" w:hAnsi="Cambria Math"/>
            <w:sz w:val="22"/>
            <w:szCs w:val="22"/>
            <w:lang w:val="en-US"/>
          </w:rPr>
          <m:t>a</m:t>
        </m:r>
      </m:oMath>
      <w:r>
        <w:rPr>
          <w:rFonts w:eastAsiaTheme="minorEastAsia"/>
          <w:sz w:val="22"/>
          <w:szCs w:val="22"/>
          <w:lang w:val="en-US"/>
        </w:rPr>
        <w:t>.</w:t>
      </w:r>
    </w:p>
    <w:p w:rsidR="008E5CD3" w:rsidRPr="008E5CD3" w:rsidRDefault="008E5CD3" w:rsidP="008E5CD3">
      <w:pPr>
        <w:pStyle w:val="Default"/>
        <w:spacing w:line="360" w:lineRule="auto"/>
        <w:rPr>
          <w:sz w:val="22"/>
          <w:szCs w:val="22"/>
          <w:lang w:val="en-US"/>
        </w:rPr>
      </w:pPr>
    </w:p>
    <w:p w:rsidR="008E5CD3" w:rsidRDefault="008E5CD3" w:rsidP="004130FE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  <w:lang w:val="en-US"/>
        </w:rPr>
      </w:pPr>
      <w:r w:rsidRPr="008E5CD3">
        <w:rPr>
          <w:sz w:val="22"/>
          <w:szCs w:val="22"/>
          <w:lang w:val="en-US"/>
        </w:rPr>
        <w:t xml:space="preserve">“We have DRS, because the unit cost of production would decrease if we would double our output”. </w:t>
      </w:r>
    </w:p>
    <w:p w:rsidR="004130FE" w:rsidRDefault="004130FE" w:rsidP="004130FE">
      <w:pPr>
        <w:pStyle w:val="Default"/>
        <w:spacing w:line="360" w:lineRule="auto"/>
        <w:rPr>
          <w:sz w:val="22"/>
          <w:szCs w:val="22"/>
          <w:lang w:val="en-US"/>
        </w:rPr>
      </w:pPr>
    </w:p>
    <w:p w:rsidR="004130FE" w:rsidRDefault="004130FE" w:rsidP="004130FE">
      <w:pPr>
        <w:pStyle w:val="Default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Answer: Lower unit prices due to higher production is not DRS but IRS. The manager is actually describing increasing returns to scale but reaches the verdict of decreasing returns to scale. </w:t>
      </w:r>
      <w:proofErr w:type="gramStart"/>
      <w:r>
        <w:rPr>
          <w:sz w:val="22"/>
          <w:szCs w:val="22"/>
          <w:lang w:val="en-US"/>
        </w:rPr>
        <w:t xml:space="preserve">So </w:t>
      </w:r>
      <w:proofErr w:type="gramEnd"/>
      <m:oMath>
        <m:r>
          <w:rPr>
            <w:rFonts w:ascii="Cambria Math" w:hAnsi="Cambria Math"/>
            <w:sz w:val="22"/>
            <w:szCs w:val="22"/>
            <w:lang w:val="en-US"/>
          </w:rPr>
          <m:t>a&gt;1</m:t>
        </m:r>
      </m:oMath>
      <w:r>
        <w:rPr>
          <w:rFonts w:eastAsiaTheme="minorEastAsia"/>
          <w:sz w:val="22"/>
          <w:szCs w:val="22"/>
          <w:lang w:val="en-US"/>
        </w:rPr>
        <w:t>.</w:t>
      </w:r>
    </w:p>
    <w:p w:rsidR="004130FE" w:rsidRPr="008E5CD3" w:rsidRDefault="004130FE" w:rsidP="004130FE">
      <w:pPr>
        <w:pStyle w:val="Default"/>
        <w:spacing w:line="360" w:lineRule="auto"/>
        <w:rPr>
          <w:sz w:val="22"/>
          <w:szCs w:val="22"/>
          <w:lang w:val="en-US"/>
        </w:rPr>
      </w:pPr>
    </w:p>
    <w:p w:rsidR="00387C22" w:rsidRPr="004130FE" w:rsidRDefault="008E5CD3" w:rsidP="004130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130FE">
        <w:rPr>
          <w:rFonts w:ascii="Times New Roman" w:hAnsi="Times New Roman" w:cs="Times New Roman"/>
        </w:rPr>
        <w:t>“Our progress ratio is less than %100 so we have IRS”.</w:t>
      </w:r>
    </w:p>
    <w:p w:rsidR="004130FE" w:rsidRDefault="004130FE" w:rsidP="004130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This is correct. Progress ratio is shows the rate of change in unit cost of production after doubling output. If the technology is </w:t>
      </w:r>
    </w:p>
    <w:p w:rsidR="004130FE" w:rsidRP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L</m:t>
              </m:r>
            </m:e>
            <m:sup>
              <m:r>
                <w:rPr>
                  <w:rFonts w:ascii="Cambria Math" w:hAnsi="Cambria Math" w:cs="Times New Roman"/>
                </w:rPr>
                <m:t>a</m:t>
              </m:r>
            </m:sup>
          </m:sSup>
        </m:oMath>
      </m:oMathPara>
    </w:p>
    <w:p w:rsid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then</w:t>
      </w:r>
      <w:proofErr w:type="gramEnd"/>
      <w:r>
        <w:rPr>
          <w:rFonts w:ascii="Times New Roman" w:eastAsiaTheme="minorEastAsia" w:hAnsi="Times New Roman" w:cs="Times New Roman"/>
        </w:rPr>
        <w:t xml:space="preserve"> we can restate this relationship as </w:t>
      </w:r>
    </w:p>
    <w:p w:rsid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=L.</m:t>
          </m:r>
        </m:oMath>
      </m:oMathPara>
    </w:p>
    <w:p w:rsid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Then cost is </w:t>
      </w:r>
    </w:p>
    <w:p w:rsidR="004130FE" w:rsidRP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C=WL=W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Y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a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Unit cost of production (that is, marginal cost) is </w:t>
      </w:r>
    </w:p>
    <w:p w:rsidR="004130FE" w:rsidRP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dC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dY</m:t>
              </m:r>
            </m:den>
          </m:f>
          <m:r>
            <w:rPr>
              <w:rFonts w:ascii="Cambria Math" w:eastAsiaTheme="minorEastAsia" w:hAnsi="Cambria Math" w:cs="Times New Roman"/>
            </w:rPr>
            <m:t>=MC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130FE" w:rsidRDefault="004130FE" w:rsidP="004130F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>the p</w:t>
      </w:r>
      <w:r>
        <w:rPr>
          <w:rFonts w:ascii="Times New Roman" w:hAnsi="Times New Roman" w:cs="Times New Roman"/>
        </w:rPr>
        <w:t>rogress ratio</w:t>
      </w:r>
      <w:r>
        <w:rPr>
          <w:rFonts w:ascii="Times New Roman" w:hAnsi="Times New Roman" w:cs="Times New Roman"/>
        </w:rPr>
        <w:t xml:space="preserve"> is</w:t>
      </w:r>
    </w:p>
    <w:p w:rsidR="004130FE" w:rsidRP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MC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2Y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</w:rPr>
                <m:t>MC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manager says</w:t>
      </w:r>
    </w:p>
    <w:p w:rsidR="004130FE" w:rsidRP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-1</m:t>
              </m:r>
            </m:sup>
          </m:sSup>
          <m:r>
            <w:rPr>
              <w:rFonts w:ascii="Cambria Math" w:eastAsiaTheme="minorEastAsia" w:hAnsi="Cambria Math" w:cs="Times New Roman"/>
            </w:rPr>
            <m:t>&lt;1.</m:t>
          </m:r>
        </m:oMath>
      </m:oMathPara>
    </w:p>
    <w:p w:rsid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is equivalent to </w:t>
      </w:r>
    </w:p>
    <w:p w:rsidR="004130FE" w:rsidRP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</w:rPr>
            <m:t>-1</m:t>
          </m:r>
          <m:r>
            <w:rPr>
              <w:rFonts w:ascii="Cambria Math" w:eastAsiaTheme="minorEastAsia" w:hAnsi="Cambria Math" w:cs="Times New Roman"/>
            </w:rPr>
            <m:t>&lt;0.</m:t>
          </m:r>
        </m:oMath>
      </m:oMathPara>
    </w:p>
    <w:p w:rsid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</w:t>
      </w:r>
      <w:proofErr w:type="gramStart"/>
      <w:r>
        <w:rPr>
          <w:rFonts w:ascii="Times New Roman" w:eastAsiaTheme="minorEastAsia" w:hAnsi="Times New Roman" w:cs="Times New Roman"/>
        </w:rPr>
        <w:t xml:space="preserve">, </w:t>
      </w:r>
      <w:proofErr w:type="gramEnd"/>
      <m:oMath>
        <m:r>
          <w:rPr>
            <w:rFonts w:ascii="Cambria Math" w:eastAsiaTheme="minorEastAsia" w:hAnsi="Cambria Math" w:cs="Times New Roman"/>
          </w:rPr>
          <m:t>a&gt;1</m:t>
        </m:r>
      </m:oMath>
      <w:r>
        <w:rPr>
          <w:rFonts w:ascii="Times New Roman" w:eastAsiaTheme="minorEastAsia" w:hAnsi="Times New Roman" w:cs="Times New Roman"/>
        </w:rPr>
        <w:t xml:space="preserve">. Conclude </w:t>
      </w:r>
      <w:r w:rsidR="00274C70">
        <w:rPr>
          <w:rFonts w:ascii="Times New Roman" w:eastAsiaTheme="minorEastAsia" w:hAnsi="Times New Roman" w:cs="Times New Roman"/>
        </w:rPr>
        <w:t>IRS.</w:t>
      </w:r>
    </w:p>
    <w:p w:rsidR="004130FE" w:rsidRP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</w:p>
    <w:p w:rsidR="004130FE" w:rsidRPr="004130FE" w:rsidRDefault="004130FE" w:rsidP="004130FE">
      <w:pPr>
        <w:spacing w:line="360" w:lineRule="auto"/>
        <w:rPr>
          <w:rFonts w:ascii="Times New Roman" w:eastAsiaTheme="minorEastAsia" w:hAnsi="Times New Roman" w:cs="Times New Roman"/>
        </w:rPr>
      </w:pPr>
    </w:p>
    <w:p w:rsidR="004130FE" w:rsidRPr="004130FE" w:rsidRDefault="004130FE" w:rsidP="004130FE">
      <w:pPr>
        <w:spacing w:line="360" w:lineRule="auto"/>
        <w:rPr>
          <w:rFonts w:ascii="Times New Roman" w:hAnsi="Times New Roman" w:cs="Times New Roman"/>
        </w:rPr>
      </w:pPr>
    </w:p>
    <w:sectPr w:rsidR="004130FE" w:rsidRPr="0041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718C8"/>
    <w:multiLevelType w:val="hybridMultilevel"/>
    <w:tmpl w:val="A6CEB6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D3"/>
    <w:rsid w:val="00274C70"/>
    <w:rsid w:val="00387C22"/>
    <w:rsid w:val="004130FE"/>
    <w:rsid w:val="00796356"/>
    <w:rsid w:val="008E5CD3"/>
    <w:rsid w:val="00A365BD"/>
    <w:rsid w:val="00B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9E7B6-0119-41E3-9D9B-F8B5075F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paragraph" w:customStyle="1" w:styleId="Default">
    <w:name w:val="Default"/>
    <w:rsid w:val="008E5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5C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2021-11-23T16:46:00Z</dcterms:created>
  <dcterms:modified xsi:type="dcterms:W3CDTF">2021-11-23T17:07:00Z</dcterms:modified>
</cp:coreProperties>
</file>