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D9" w:rsidRDefault="00382C31" w:rsidP="003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C31">
        <w:rPr>
          <w:rFonts w:ascii="Times New Roman" w:hAnsi="Times New Roman" w:cs="Times New Roman"/>
          <w:b/>
          <w:sz w:val="24"/>
          <w:szCs w:val="24"/>
        </w:rPr>
        <w:t>EGT5106 DÜŞÜNME VE PROBLEM ÇÖZME SÜRECİ</w:t>
      </w:r>
      <w:r w:rsidR="005D1722">
        <w:rPr>
          <w:rFonts w:ascii="Times New Roman" w:hAnsi="Times New Roman" w:cs="Times New Roman"/>
          <w:b/>
          <w:sz w:val="24"/>
          <w:szCs w:val="24"/>
        </w:rPr>
        <w:t xml:space="preserve"> (2022-2023</w:t>
      </w:r>
      <w:bookmarkStart w:id="0" w:name="_GoBack"/>
      <w:bookmarkEnd w:id="0"/>
      <w:r w:rsidR="009E0508">
        <w:rPr>
          <w:rFonts w:ascii="Times New Roman" w:hAnsi="Times New Roman" w:cs="Times New Roman"/>
          <w:b/>
          <w:sz w:val="24"/>
          <w:szCs w:val="24"/>
        </w:rPr>
        <w:t>/BAHAR)</w:t>
      </w:r>
    </w:p>
    <w:p w:rsidR="00382C31" w:rsidRPr="00382C31" w:rsidRDefault="00382C31" w:rsidP="00382C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2C31" w:rsidRPr="00F77F1F" w:rsidRDefault="00382C31" w:rsidP="00382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F1F">
        <w:rPr>
          <w:rFonts w:ascii="Times New Roman" w:hAnsi="Times New Roman" w:cs="Times New Roman"/>
          <w:b/>
          <w:sz w:val="24"/>
          <w:szCs w:val="24"/>
        </w:rPr>
        <w:t>Hoca</w:t>
      </w:r>
      <w:r w:rsidR="005001F2" w:rsidRPr="00F77F1F">
        <w:rPr>
          <w:rFonts w:ascii="Times New Roman" w:hAnsi="Times New Roman" w:cs="Times New Roman"/>
          <w:b/>
          <w:sz w:val="24"/>
          <w:szCs w:val="24"/>
        </w:rPr>
        <w:tab/>
        <w:t>: Doç. Dr.</w:t>
      </w:r>
      <w:r w:rsidRPr="00F77F1F">
        <w:rPr>
          <w:rFonts w:ascii="Times New Roman" w:hAnsi="Times New Roman" w:cs="Times New Roman"/>
          <w:b/>
          <w:sz w:val="24"/>
          <w:szCs w:val="24"/>
        </w:rPr>
        <w:t xml:space="preserve"> Davut HOTAMAN</w:t>
      </w:r>
    </w:p>
    <w:p w:rsidR="00382C31" w:rsidRPr="001B5C58" w:rsidRDefault="001B5C58" w:rsidP="0038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58">
        <w:rPr>
          <w:rFonts w:ascii="Times New Roman" w:hAnsi="Times New Roman" w:cs="Times New Roman"/>
          <w:sz w:val="24"/>
          <w:szCs w:val="24"/>
        </w:rPr>
        <w:t>davut@yildiz.edu.tr / Ofis: B Blok, 3. Kat, Oda:319</w:t>
      </w:r>
    </w:p>
    <w:p w:rsidR="00382C31" w:rsidRDefault="00382C31" w:rsidP="00382C3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16"/>
          <w:szCs w:val="16"/>
        </w:rPr>
      </w:pPr>
    </w:p>
    <w:p w:rsidR="00F04F49" w:rsidRPr="00382C31" w:rsidRDefault="00F04F49" w:rsidP="00382C3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16"/>
          <w:szCs w:val="16"/>
        </w:rPr>
      </w:pPr>
    </w:p>
    <w:p w:rsidR="00382C31" w:rsidRDefault="00382C31" w:rsidP="00382C3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382C31">
        <w:rPr>
          <w:rFonts w:eastAsiaTheme="minorEastAsia"/>
          <w:b/>
          <w:bCs/>
          <w:color w:val="000000" w:themeColor="text1"/>
          <w:kern w:val="24"/>
        </w:rPr>
        <w:t>DERSİN İÇERİĞİ</w:t>
      </w:r>
    </w:p>
    <w:p w:rsidR="00382C31" w:rsidRPr="00382C31" w:rsidRDefault="00382C31" w:rsidP="00382C3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382C31" w:rsidRPr="00382C31" w:rsidRDefault="00382C31" w:rsidP="00382C3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1.Düşünme Nedir?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2.Düşünme Süreci.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3.Düşünme Türleri;</w:t>
      </w:r>
    </w:p>
    <w:p w:rsidR="00382C31" w:rsidRPr="00382C31" w:rsidRDefault="00382C31" w:rsidP="00382C31">
      <w:pPr>
        <w:pStyle w:val="NormalWeb"/>
        <w:kinsoku w:val="0"/>
        <w:overflowPunct w:val="0"/>
        <w:spacing w:before="0" w:beforeAutospacing="0" w:after="0" w:afterAutospacing="0"/>
        <w:ind w:left="634"/>
        <w:jc w:val="both"/>
        <w:textAlignment w:val="baseline"/>
      </w:pPr>
      <w:r w:rsidRPr="00382C31">
        <w:rPr>
          <w:rFonts w:eastAsiaTheme="minorEastAsia"/>
          <w:color w:val="000000" w:themeColor="text1"/>
          <w:kern w:val="24"/>
        </w:rPr>
        <w:t xml:space="preserve">Yansıtıcı düşünme, Yaratıcı düşünme, Eleştirel düşünme, Analitik düşünme,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Metabilişsel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Tümevarımsal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Tümdengelimsel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düşünme, Analojik düşünme, Iraksak düşünme(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Gardner</w:t>
      </w:r>
      <w:proofErr w:type="spellEnd"/>
      <w:r w:rsidRPr="00382C31">
        <w:rPr>
          <w:rFonts w:eastAsiaTheme="minorEastAsia"/>
          <w:color w:val="000000" w:themeColor="text1"/>
          <w:kern w:val="24"/>
        </w:rPr>
        <w:t>), Yakınsak düşünme(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Gardner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),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Lateral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Dönüşümsel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düşünme, Bütünleştirici düşünme(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kombinasyonel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), Hipotetik düşünme, Global düşünme,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Refleksif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Omnipotent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düşünme, </w:t>
      </w:r>
      <w:proofErr w:type="spellStart"/>
      <w:r w:rsidRPr="00382C31">
        <w:rPr>
          <w:rFonts w:eastAsiaTheme="minorEastAsia"/>
          <w:color w:val="000000" w:themeColor="text1"/>
          <w:kern w:val="24"/>
        </w:rPr>
        <w:t>İkonik</w:t>
      </w:r>
      <w:proofErr w:type="spellEnd"/>
      <w:r w:rsidRPr="00382C31">
        <w:rPr>
          <w:rFonts w:eastAsiaTheme="minorEastAsia"/>
          <w:color w:val="000000" w:themeColor="text1"/>
          <w:kern w:val="24"/>
        </w:rPr>
        <w:t xml:space="preserve"> düşünme.</w:t>
      </w:r>
    </w:p>
    <w:p w:rsidR="00F04F49" w:rsidRDefault="00F04F49" w:rsidP="00382C3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382C31" w:rsidRPr="00382C31" w:rsidRDefault="00382C31" w:rsidP="00382C3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</w:rPr>
      </w:pPr>
      <w:r w:rsidRPr="00382C31">
        <w:rPr>
          <w:rFonts w:eastAsiaTheme="minorEastAsia"/>
          <w:b/>
          <w:bCs/>
          <w:color w:val="000000" w:themeColor="text1"/>
          <w:kern w:val="24"/>
        </w:rPr>
        <w:t>4. Eleştirel Düşünmenin Boyutları.</w:t>
      </w:r>
    </w:p>
    <w:p w:rsidR="00382C31" w:rsidRPr="00382C31" w:rsidRDefault="00382C31" w:rsidP="00382C31">
      <w:pPr>
        <w:pStyle w:val="NormalWeb"/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eastAsiaTheme="minorEastAsia"/>
          <w:color w:val="000000" w:themeColor="text1"/>
          <w:kern w:val="24"/>
        </w:rPr>
      </w:pPr>
      <w:proofErr w:type="gramStart"/>
      <w:r w:rsidRPr="00382C31">
        <w:rPr>
          <w:rFonts w:eastAsiaTheme="minorEastAsia"/>
          <w:color w:val="000000" w:themeColor="text1"/>
          <w:kern w:val="24"/>
        </w:rPr>
        <w:t>a</w:t>
      </w:r>
      <w:proofErr w:type="gramEnd"/>
      <w:r w:rsidRPr="00382C31">
        <w:rPr>
          <w:rFonts w:eastAsiaTheme="minorEastAsia"/>
          <w:color w:val="000000" w:themeColor="text1"/>
          <w:kern w:val="24"/>
        </w:rPr>
        <w:t>. Değerlendirme Olarak Eleştirel Düşünme.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Entelektüel Gelişim Süreci Olarak Eleştirel Düşünme.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 Problem Çözme Olarak Eleştirel Düşünme.</w:t>
      </w:r>
    </w:p>
    <w:p w:rsidR="00F04F49" w:rsidRDefault="00F04F49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</w:pP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  <w:t>5. Yaratıcılık ve Yaratıcı Düşünme.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  <w:tab/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Yaratıcılığı Etkileyen Faktörler;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Duygusal Engeller.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  <w:t>ii. Kültürel Engeller.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  <w:t>iii. Öğrenilen/Öğrenilmiş Engeller.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iv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Algılama Engelleri.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Yüklü Program Engelleri.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Yaratıcı Bireylerin Özellikleri.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Yaratıcı Problem Çözme.</w:t>
      </w:r>
    </w:p>
    <w:p w:rsidR="00F04F49" w:rsidRDefault="00F04F49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</w:pP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  <w:t>6. Değerlendirme Olarak Eleştirel Düşünme.</w:t>
      </w:r>
    </w:p>
    <w:p w:rsidR="00F04F49" w:rsidRDefault="00F04F49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</w:pP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  <w:t>7. Problem Çözme.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Problem Çözme Süreci.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Problem Çözme ve Eğitim.</w:t>
      </w:r>
    </w:p>
    <w:p w:rsidR="00382C31" w:rsidRPr="00F04F49" w:rsidRDefault="00382C31" w:rsidP="00F04F49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 Problem Çözme İle İlgili Araştırmalar.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</w:pP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  <w:t>Kaynaklar;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1.Sternberg, R. J. (1994).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Thinking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and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Problem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Solving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. New York,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Academic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Pres.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2.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Adair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 J. (2000). Karar Verme ve Problem Çözme. Çev</w:t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.,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Kalaycı, N.,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Edit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., Atay, M. T. . Ankara: Gazi Kitabevi.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3.Renata, N. C.&amp;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Geoffrey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C. (1994). Beyin Temelli Öğrenme. Çev.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Edit</w:t>
      </w:r>
      <w:proofErr w:type="spellEnd"/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.: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Gülten Ülgen. Ankara: Nobel Yayın Dağıtım.</w:t>
      </w:r>
    </w:p>
    <w:p w:rsidR="00382C31" w:rsidRP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4.Uzbay, T. (2017). Görünmeyen Beyin. </w:t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İstanbul: Destek Yayınları.</w:t>
      </w:r>
      <w:proofErr w:type="gramEnd"/>
    </w:p>
    <w:p w:rsidR="00382C31" w:rsidRDefault="00382C31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5.Tracy </w:t>
      </w:r>
      <w:proofErr w:type="spell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Brian</w:t>
      </w:r>
      <w:proofErr w:type="spell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(2017). Yaratıcılık ve Sorun Çözme. Çev</w:t>
      </w:r>
      <w:proofErr w:type="gramStart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.:</w:t>
      </w:r>
      <w:proofErr w:type="gramEnd"/>
      <w:r w:rsidRP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Süreyya Bursa, Arıtan Yayınevi.</w:t>
      </w:r>
    </w:p>
    <w:p w:rsidR="00382C31" w:rsidRPr="00382C31" w:rsidRDefault="00060928" w:rsidP="00382C3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6. Tülay Üstündağ (2003).</w:t>
      </w:r>
      <w:r w:rsid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proofErr w:type="gramStart"/>
      <w:r w:rsid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Yaratıcılığa Yolculuk,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Ankara. </w:t>
      </w:r>
      <w:proofErr w:type="spellStart"/>
      <w:proofErr w:type="gramEnd"/>
      <w:r w:rsidR="00382C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PegemAkademi</w:t>
      </w:r>
      <w:proofErr w:type="spellEnd"/>
    </w:p>
    <w:p w:rsidR="00382C31" w:rsidRDefault="00382C31"/>
    <w:sectPr w:rsidR="0038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16FF"/>
    <w:multiLevelType w:val="hybridMultilevel"/>
    <w:tmpl w:val="E478861A"/>
    <w:lvl w:ilvl="0" w:tplc="0E565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65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2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C5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29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E7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4B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60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A1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10EF6"/>
    <w:multiLevelType w:val="hybridMultilevel"/>
    <w:tmpl w:val="C988DCD2"/>
    <w:lvl w:ilvl="0" w:tplc="FE9646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1"/>
    <w:rsid w:val="00060928"/>
    <w:rsid w:val="001B5C58"/>
    <w:rsid w:val="002D5ED9"/>
    <w:rsid w:val="00382C31"/>
    <w:rsid w:val="003F10C6"/>
    <w:rsid w:val="005001F2"/>
    <w:rsid w:val="005D1722"/>
    <w:rsid w:val="009E0508"/>
    <w:rsid w:val="00F04F49"/>
    <w:rsid w:val="00F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AF8E-786F-4FA2-AF6D-AF094E7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82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B5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5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3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hotaman</dc:creator>
  <cp:keywords/>
  <dc:description/>
  <cp:lastModifiedBy>DEKANLIK-PC</cp:lastModifiedBy>
  <cp:revision>8</cp:revision>
  <dcterms:created xsi:type="dcterms:W3CDTF">2019-02-14T11:45:00Z</dcterms:created>
  <dcterms:modified xsi:type="dcterms:W3CDTF">2023-02-13T07:27:00Z</dcterms:modified>
</cp:coreProperties>
</file>