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5A" w:rsidRDefault="00C91E5A" w:rsidP="004B5DF3">
      <w:pPr>
        <w:spacing w:line="24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Chapter 19</w:t>
      </w:r>
      <w:r>
        <w:rPr>
          <w:rFonts w:ascii="Times New Roman" w:hAnsi="Times New Roman" w:cs="Times New Roman"/>
          <w:sz w:val="36"/>
          <w:szCs w:val="36"/>
          <w:lang w:val="en-US"/>
        </w:rPr>
        <w:t xml:space="preserve">     </w:t>
      </w:r>
      <w:r w:rsidR="004B5DF3">
        <w:rPr>
          <w:rFonts w:ascii="Times New Roman" w:hAnsi="Times New Roman" w:cs="Times New Roman"/>
          <w:b/>
          <w:sz w:val="36"/>
          <w:szCs w:val="36"/>
          <w:lang w:val="en-US"/>
        </w:rPr>
        <w:t>Oxidative Phosphorylation</w:t>
      </w:r>
    </w:p>
    <w:p w:rsidR="00C91E5A" w:rsidRDefault="00C91E5A" w:rsidP="00C91E5A">
      <w:pPr>
        <w:spacing w:line="240" w:lineRule="auto"/>
        <w:jc w:val="center"/>
        <w:rPr>
          <w:rFonts w:ascii="Times New Roman" w:hAnsi="Times New Roman" w:cs="Times New Roman"/>
          <w:sz w:val="24"/>
          <w:szCs w:val="24"/>
          <w:lang w:val="en-US"/>
        </w:rPr>
      </w:pPr>
    </w:p>
    <w:p w:rsidR="00C91E5A" w:rsidRDefault="00C91E5A" w:rsidP="00C91E5A">
      <w:pPr>
        <w:pStyle w:val="ListeParagraf"/>
        <w:numPr>
          <w:ilvl w:val="0"/>
          <w:numId w:val="1"/>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t xml:space="preserve">All oxidative steps in the degradation of carbohydrates, fats, and amino acids converge at this final stage of cellular respiration, in which the energy of oxidation drives the synthesis of ATP. </w:t>
      </w:r>
    </w:p>
    <w:p w:rsidR="00C91E5A" w:rsidRDefault="00C91E5A" w:rsidP="00C91E5A">
      <w:pPr>
        <w:pStyle w:val="ListeParagraf"/>
        <w:autoSpaceDE w:val="0"/>
        <w:autoSpaceDN w:val="0"/>
        <w:adjustRightInd w:val="0"/>
        <w:spacing w:after="0" w:line="240" w:lineRule="auto"/>
        <w:ind w:left="426"/>
        <w:jc w:val="both"/>
        <w:rPr>
          <w:rFonts w:ascii="Times New Roman" w:eastAsia="Century-Light" w:hAnsi="Times New Roman" w:cs="Times New Roman"/>
          <w:sz w:val="24"/>
          <w:szCs w:val="24"/>
          <w:lang w:val="en-US" w:eastAsia="en-US"/>
        </w:rPr>
      </w:pPr>
    </w:p>
    <w:p w:rsidR="00C91E5A" w:rsidRDefault="00C91E5A" w:rsidP="00C91E5A">
      <w:pPr>
        <w:pStyle w:val="ListeParagraf"/>
        <w:autoSpaceDE w:val="0"/>
        <w:autoSpaceDN w:val="0"/>
        <w:adjustRightInd w:val="0"/>
        <w:spacing w:after="0" w:line="36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19.1 Electron-Transfer Reactions in Mitochondria</w:t>
      </w:r>
    </w:p>
    <w:p w:rsidR="00C91E5A" w:rsidRDefault="00C91E5A" w:rsidP="00C91E5A">
      <w:pPr>
        <w:pStyle w:val="ListeParagraf"/>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C91E5A" w:rsidRDefault="00C91E5A" w:rsidP="00C91E5A">
      <w:pPr>
        <w:pStyle w:val="ListeParagraf"/>
        <w:numPr>
          <w:ilvl w:val="0"/>
          <w:numId w:val="2"/>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t xml:space="preserve">In eukaryotes, oxidative phosphorylation occurs in mitochondria. </w:t>
      </w:r>
    </w:p>
    <w:p w:rsidR="00C91E5A" w:rsidRDefault="00C91E5A" w:rsidP="00C91E5A">
      <w:pPr>
        <w:pStyle w:val="ListeParagraf"/>
        <w:numPr>
          <w:ilvl w:val="0"/>
          <w:numId w:val="2"/>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t xml:space="preserve">Oxidative phosphorylation involves the </w:t>
      </w:r>
      <w:r>
        <w:rPr>
          <w:rFonts w:ascii="Times New Roman" w:eastAsia="Century-LightItalic" w:hAnsi="Times New Roman" w:cs="Times New Roman"/>
          <w:iCs/>
          <w:sz w:val="24"/>
          <w:szCs w:val="24"/>
          <w:lang w:val="en-US" w:eastAsia="en-US"/>
        </w:rPr>
        <w:t>reduction</w:t>
      </w:r>
      <w:r>
        <w:rPr>
          <w:rFonts w:ascii="Times New Roman" w:eastAsia="Century-LightItalic" w:hAnsi="Times New Roman" w:cs="Times New Roman"/>
          <w:i/>
          <w:iCs/>
          <w:sz w:val="24"/>
          <w:szCs w:val="24"/>
          <w:lang w:val="en-US" w:eastAsia="en-US"/>
        </w:rPr>
        <w:t xml:space="preserve"> </w:t>
      </w:r>
      <w:r>
        <w:rPr>
          <w:rFonts w:ascii="Times New Roman" w:eastAsia="Century-Light" w:hAnsi="Times New Roman" w:cs="Times New Roman"/>
          <w:sz w:val="24"/>
          <w:szCs w:val="24"/>
          <w:lang w:val="en-US" w:eastAsia="en-US"/>
        </w:rPr>
        <w:t>of O</w:t>
      </w:r>
      <w:r>
        <w:rPr>
          <w:rFonts w:ascii="Times New Roman" w:eastAsia="Century-Light" w:hAnsi="Times New Roman" w:cs="Times New Roman"/>
          <w:sz w:val="24"/>
          <w:szCs w:val="24"/>
          <w:vertAlign w:val="subscript"/>
          <w:lang w:val="en-US" w:eastAsia="en-US"/>
        </w:rPr>
        <w:t>2</w:t>
      </w:r>
      <w:r>
        <w:rPr>
          <w:rFonts w:ascii="Times New Roman" w:eastAsia="Century-Light" w:hAnsi="Times New Roman" w:cs="Times New Roman"/>
          <w:sz w:val="24"/>
          <w:szCs w:val="24"/>
          <w:lang w:val="en-US" w:eastAsia="en-US"/>
        </w:rPr>
        <w:t xml:space="preserve"> to H</w:t>
      </w:r>
      <w:r>
        <w:rPr>
          <w:rFonts w:ascii="Times New Roman" w:eastAsia="Century-Light" w:hAnsi="Times New Roman" w:cs="Times New Roman"/>
          <w:sz w:val="24"/>
          <w:szCs w:val="24"/>
          <w:vertAlign w:val="subscript"/>
          <w:lang w:val="en-US" w:eastAsia="en-US"/>
        </w:rPr>
        <w:t>2</w:t>
      </w:r>
      <w:r>
        <w:rPr>
          <w:rFonts w:ascii="Times New Roman" w:eastAsia="Century-Light" w:hAnsi="Times New Roman" w:cs="Times New Roman"/>
          <w:sz w:val="24"/>
          <w:szCs w:val="24"/>
          <w:lang w:val="en-US" w:eastAsia="en-US"/>
        </w:rPr>
        <w:t>O with electrons donated by NADH and FADH</w:t>
      </w:r>
      <w:r>
        <w:rPr>
          <w:rFonts w:ascii="Times New Roman" w:eastAsia="Century-Light" w:hAnsi="Times New Roman" w:cs="Times New Roman"/>
          <w:sz w:val="24"/>
          <w:szCs w:val="24"/>
          <w:vertAlign w:val="subscript"/>
          <w:lang w:val="en-US" w:eastAsia="en-US"/>
        </w:rPr>
        <w:t>2</w:t>
      </w:r>
      <w:r>
        <w:rPr>
          <w:rFonts w:ascii="Times New Roman" w:eastAsia="Century-Light" w:hAnsi="Times New Roman" w:cs="Times New Roman"/>
          <w:sz w:val="24"/>
          <w:szCs w:val="24"/>
          <w:lang w:val="en-US" w:eastAsia="en-US"/>
        </w:rPr>
        <w:t>.</w:t>
      </w:r>
    </w:p>
    <w:p w:rsidR="00C91E5A" w:rsidRDefault="00C91E5A" w:rsidP="00C91E5A">
      <w:pPr>
        <w:pStyle w:val="ListeParagraf"/>
        <w:numPr>
          <w:ilvl w:val="0"/>
          <w:numId w:val="3"/>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t xml:space="preserve">Mitochondria have two membranes (outer and inner). </w:t>
      </w:r>
    </w:p>
    <w:p w:rsidR="00C91E5A" w:rsidRDefault="00C91E5A" w:rsidP="00C91E5A">
      <w:pPr>
        <w:pStyle w:val="ListeParagraf"/>
        <w:numPr>
          <w:ilvl w:val="0"/>
          <w:numId w:val="3"/>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t>The inner membrane bears the components of the respiratory chain and the ATP synthase.</w:t>
      </w:r>
    </w:p>
    <w:p w:rsidR="00C91E5A" w:rsidRDefault="00C91E5A" w:rsidP="00C91E5A">
      <w:pPr>
        <w:pStyle w:val="ListeParagraf"/>
        <w:autoSpaceDE w:val="0"/>
        <w:autoSpaceDN w:val="0"/>
        <w:adjustRightInd w:val="0"/>
        <w:spacing w:after="0" w:line="240" w:lineRule="auto"/>
        <w:ind w:left="426"/>
        <w:jc w:val="both"/>
        <w:rPr>
          <w:rFonts w:ascii="Times New Roman" w:eastAsia="Century-Light" w:hAnsi="Times New Roman" w:cs="Times New Roman"/>
          <w:sz w:val="24"/>
          <w:szCs w:val="24"/>
          <w:lang w:val="en-US" w:eastAsia="en-US"/>
        </w:rPr>
      </w:pPr>
    </w:p>
    <w:p w:rsidR="00C91E5A" w:rsidRDefault="00C91E5A" w:rsidP="00C91E5A">
      <w:pPr>
        <w:pStyle w:val="ListeParagraf"/>
        <w:autoSpaceDE w:val="0"/>
        <w:autoSpaceDN w:val="0"/>
        <w:adjustRightInd w:val="0"/>
        <w:spacing w:after="0" w:line="360" w:lineRule="auto"/>
        <w:ind w:left="0"/>
        <w:jc w:val="center"/>
        <w:rPr>
          <w:rFonts w:ascii="Times New Roman" w:eastAsia="Century-Light" w:hAnsi="Times New Roman" w:cs="Times New Roman"/>
          <w:b/>
          <w:sz w:val="24"/>
          <w:szCs w:val="24"/>
          <w:lang w:val="en-US" w:eastAsia="en-US"/>
        </w:rPr>
      </w:pPr>
      <w:r>
        <w:rPr>
          <w:rFonts w:ascii="Times New Roman" w:eastAsia="Century-Light" w:hAnsi="Times New Roman" w:cs="Times New Roman"/>
          <w:b/>
          <w:sz w:val="24"/>
          <w:szCs w:val="24"/>
          <w:lang w:val="en-US" w:eastAsia="en-US"/>
        </w:rPr>
        <w:t>Electrons Pass through a Series of Membrane-Bound Carriers</w:t>
      </w:r>
    </w:p>
    <w:p w:rsidR="00C91E5A" w:rsidRPr="007174BF" w:rsidRDefault="00C91E5A" w:rsidP="00C91E5A">
      <w:pPr>
        <w:pStyle w:val="ListeParagraf"/>
        <w:numPr>
          <w:ilvl w:val="0"/>
          <w:numId w:val="3"/>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t xml:space="preserve">Oxidative phosphorylation begins with the entry of electrons into the chain of electron carriers called the </w:t>
      </w:r>
      <w:r>
        <w:rPr>
          <w:rFonts w:ascii="Times New Roman" w:eastAsia="Century-Light" w:hAnsi="Times New Roman" w:cs="Times New Roman"/>
          <w:b/>
          <w:sz w:val="24"/>
          <w:szCs w:val="24"/>
          <w:lang w:val="en-US" w:eastAsia="en-US"/>
        </w:rPr>
        <w:t>respiratory chain</w:t>
      </w:r>
      <w:r>
        <w:rPr>
          <w:rFonts w:ascii="Times New Roman" w:eastAsia="Century-Light" w:hAnsi="Times New Roman" w:cs="Times New Roman"/>
          <w:sz w:val="24"/>
          <w:szCs w:val="24"/>
          <w:lang w:val="en-US" w:eastAsia="en-US"/>
        </w:rPr>
        <w:t xml:space="preserve"> (</w:t>
      </w:r>
      <w:r w:rsidR="00177D3A">
        <w:rPr>
          <w:rFonts w:ascii="Times New Roman" w:hAnsi="Times New Roman" w:cs="Times New Roman"/>
          <w:b/>
          <w:sz w:val="24"/>
          <w:szCs w:val="24"/>
          <w:lang w:val="en-US"/>
        </w:rPr>
        <w:t>Fig. 19-1).</w:t>
      </w:r>
    </w:p>
    <w:p w:rsidR="007174BF" w:rsidRPr="00177D3A" w:rsidRDefault="007174BF" w:rsidP="007174BF">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177D3A" w:rsidRPr="00177D3A" w:rsidRDefault="00177D3A" w:rsidP="00177D3A">
      <w:pPr>
        <w:autoSpaceDE w:val="0"/>
        <w:autoSpaceDN w:val="0"/>
        <w:adjustRightInd w:val="0"/>
        <w:spacing w:after="0" w:line="360" w:lineRule="auto"/>
        <w:jc w:val="center"/>
        <w:rPr>
          <w:rFonts w:ascii="Times New Roman" w:eastAsia="Century-Light" w:hAnsi="Times New Roman" w:cs="Times New Roman"/>
          <w:sz w:val="24"/>
          <w:szCs w:val="24"/>
          <w:lang w:val="en-US" w:eastAsia="en-US"/>
        </w:rPr>
      </w:pPr>
      <w:r>
        <w:rPr>
          <w:rFonts w:ascii="Times New Roman" w:eastAsia="Century-Light" w:hAnsi="Times New Roman" w:cs="Times New Roman"/>
          <w:noProof/>
          <w:sz w:val="24"/>
          <w:szCs w:val="24"/>
        </w:rPr>
        <w:drawing>
          <wp:inline distT="0" distB="0" distL="0" distR="0">
            <wp:extent cx="5540856" cy="375285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0856" cy="3752850"/>
                    </a:xfrm>
                    <a:prstGeom prst="rect">
                      <a:avLst/>
                    </a:prstGeom>
                    <a:noFill/>
                    <a:ln>
                      <a:noFill/>
                    </a:ln>
                  </pic:spPr>
                </pic:pic>
              </a:graphicData>
            </a:graphic>
          </wp:inline>
        </w:drawing>
      </w:r>
    </w:p>
    <w:p w:rsidR="00177D3A" w:rsidRDefault="001252E9" w:rsidP="001252E9">
      <w:pPr>
        <w:pStyle w:val="ListeParagraf"/>
        <w:autoSpaceDE w:val="0"/>
        <w:autoSpaceDN w:val="0"/>
        <w:adjustRightInd w:val="0"/>
        <w:spacing w:after="0" w:line="360" w:lineRule="auto"/>
        <w:ind w:left="0"/>
        <w:jc w:val="center"/>
        <w:rPr>
          <w:rFonts w:ascii="Times New Roman" w:eastAsia="Century-Light" w:hAnsi="Times New Roman" w:cs="Times New Roman"/>
          <w:sz w:val="24"/>
          <w:szCs w:val="24"/>
          <w:lang w:val="en-US" w:eastAsia="en-US"/>
        </w:rPr>
      </w:pPr>
      <w:r>
        <w:rPr>
          <w:rFonts w:ascii="Times New Roman" w:eastAsia="Century-Light" w:hAnsi="Times New Roman" w:cs="Times New Roman"/>
          <w:noProof/>
          <w:sz w:val="24"/>
          <w:szCs w:val="24"/>
        </w:rPr>
        <w:lastRenderedPageBreak/>
        <w:drawing>
          <wp:inline distT="0" distB="0" distL="0" distR="0" wp14:anchorId="666C6A2E" wp14:editId="68324E69">
            <wp:extent cx="5753100" cy="1885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885950"/>
                    </a:xfrm>
                    <a:prstGeom prst="rect">
                      <a:avLst/>
                    </a:prstGeom>
                    <a:noFill/>
                    <a:ln>
                      <a:noFill/>
                    </a:ln>
                  </pic:spPr>
                </pic:pic>
              </a:graphicData>
            </a:graphic>
          </wp:inline>
        </w:drawing>
      </w:r>
    </w:p>
    <w:p w:rsidR="001252E9" w:rsidRDefault="001252E9" w:rsidP="001252E9">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C91E5A" w:rsidRDefault="00C91E5A" w:rsidP="00C91E5A">
      <w:pPr>
        <w:pStyle w:val="ListeParagraf"/>
        <w:numPr>
          <w:ilvl w:val="0"/>
          <w:numId w:val="4"/>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t xml:space="preserve">In addition to </w:t>
      </w:r>
      <w:r>
        <w:rPr>
          <w:rFonts w:ascii="Times New Roman" w:eastAsia="Century-Light" w:hAnsi="Times New Roman" w:cs="Times New Roman"/>
          <w:b/>
          <w:sz w:val="24"/>
          <w:szCs w:val="24"/>
          <w:lang w:val="en-US" w:eastAsia="en-US"/>
        </w:rPr>
        <w:t>NAD-linked dehydrogenases</w:t>
      </w:r>
      <w:r>
        <w:rPr>
          <w:rFonts w:ascii="Times New Roman" w:eastAsia="Century-Light" w:hAnsi="Times New Roman" w:cs="Times New Roman"/>
          <w:sz w:val="24"/>
          <w:szCs w:val="24"/>
          <w:lang w:val="en-US" w:eastAsia="en-US"/>
        </w:rPr>
        <w:t xml:space="preserve"> and </w:t>
      </w:r>
      <w:r>
        <w:rPr>
          <w:rFonts w:ascii="Times New Roman" w:eastAsia="Century-Light" w:hAnsi="Times New Roman" w:cs="Times New Roman"/>
          <w:b/>
          <w:sz w:val="24"/>
          <w:szCs w:val="24"/>
          <w:lang w:val="en-US" w:eastAsia="en-US"/>
        </w:rPr>
        <w:t xml:space="preserve">FMN or FAD-linked </w:t>
      </w:r>
      <w:proofErr w:type="spellStart"/>
      <w:r>
        <w:rPr>
          <w:rFonts w:ascii="Times New Roman" w:eastAsia="Century-Light" w:hAnsi="Times New Roman" w:cs="Times New Roman"/>
          <w:b/>
          <w:sz w:val="24"/>
          <w:szCs w:val="24"/>
          <w:lang w:val="en-US" w:eastAsia="en-US"/>
        </w:rPr>
        <w:t>flavoproteins</w:t>
      </w:r>
      <w:proofErr w:type="spellEnd"/>
      <w:r>
        <w:rPr>
          <w:rFonts w:ascii="Times New Roman" w:eastAsia="Century-Light" w:hAnsi="Times New Roman" w:cs="Times New Roman"/>
          <w:sz w:val="24"/>
          <w:szCs w:val="24"/>
          <w:lang w:val="en-US" w:eastAsia="en-US"/>
        </w:rPr>
        <w:t>, three other types of electron-carrying molecules function in the respiratory chain.</w:t>
      </w:r>
    </w:p>
    <w:p w:rsidR="00C91E5A" w:rsidRPr="00060F10" w:rsidRDefault="00C91E5A" w:rsidP="00060F10">
      <w:pPr>
        <w:pStyle w:val="ListeParagraf"/>
        <w:numPr>
          <w:ilvl w:val="0"/>
          <w:numId w:val="6"/>
        </w:numPr>
        <w:autoSpaceDE w:val="0"/>
        <w:autoSpaceDN w:val="0"/>
        <w:adjustRightInd w:val="0"/>
        <w:spacing w:after="0" w:line="360" w:lineRule="auto"/>
        <w:ind w:left="426" w:hanging="426"/>
        <w:jc w:val="both"/>
        <w:rPr>
          <w:rFonts w:ascii="Times New Roman" w:eastAsiaTheme="minorHAnsi" w:hAnsi="Times New Roman" w:cs="Times New Roman"/>
          <w:b/>
          <w:bCs/>
          <w:sz w:val="24"/>
          <w:szCs w:val="24"/>
          <w:lang w:eastAsia="en-US"/>
        </w:rPr>
      </w:pPr>
      <w:r>
        <w:rPr>
          <w:rFonts w:ascii="Times New Roman" w:eastAsia="Century-Light" w:hAnsi="Times New Roman" w:cs="Times New Roman"/>
          <w:sz w:val="24"/>
          <w:szCs w:val="24"/>
          <w:lang w:val="en-US" w:eastAsia="en-US"/>
        </w:rPr>
        <w:t xml:space="preserve">A hydrophobic </w:t>
      </w:r>
      <w:proofErr w:type="spellStart"/>
      <w:r>
        <w:rPr>
          <w:rFonts w:ascii="Times New Roman" w:eastAsia="Century-Light" w:hAnsi="Times New Roman" w:cs="Times New Roman"/>
          <w:sz w:val="24"/>
          <w:szCs w:val="24"/>
          <w:lang w:val="en-US" w:eastAsia="en-US"/>
        </w:rPr>
        <w:t>quinone</w:t>
      </w:r>
      <w:proofErr w:type="spellEnd"/>
      <w:r>
        <w:rPr>
          <w:rFonts w:ascii="Times New Roman" w:eastAsia="Century-Light" w:hAnsi="Times New Roman" w:cs="Times New Roman"/>
          <w:sz w:val="24"/>
          <w:szCs w:val="24"/>
          <w:lang w:val="en-US" w:eastAsia="en-US"/>
        </w:rPr>
        <w:t xml:space="preserve"> (ubiquinone) is also called </w:t>
      </w:r>
      <w:r>
        <w:rPr>
          <w:rFonts w:ascii="Times New Roman" w:eastAsiaTheme="minorHAnsi" w:hAnsi="Times New Roman" w:cs="Times New Roman"/>
          <w:b/>
          <w:bCs/>
          <w:sz w:val="24"/>
          <w:szCs w:val="24"/>
          <w:lang w:val="en-US" w:eastAsia="en-US"/>
        </w:rPr>
        <w:t>coenzyme Q</w:t>
      </w:r>
      <w:r>
        <w:rPr>
          <w:rFonts w:ascii="Times New Roman" w:eastAsia="Century-Light" w:hAnsi="Times New Roman" w:cs="Times New Roman"/>
          <w:sz w:val="24"/>
          <w:szCs w:val="24"/>
          <w:lang w:val="en-US" w:eastAsia="en-US"/>
        </w:rPr>
        <w:t xml:space="preserve"> (simply </w:t>
      </w:r>
      <w:r>
        <w:rPr>
          <w:rFonts w:ascii="Times New Roman" w:eastAsiaTheme="minorHAnsi" w:hAnsi="Times New Roman" w:cs="Times New Roman"/>
          <w:b/>
          <w:bCs/>
          <w:sz w:val="24"/>
          <w:szCs w:val="24"/>
          <w:lang w:val="en-US" w:eastAsia="en-US"/>
        </w:rPr>
        <w:t>Q</w:t>
      </w:r>
      <w:r>
        <w:rPr>
          <w:rFonts w:ascii="Times New Roman" w:eastAsiaTheme="minorHAnsi" w:hAnsi="Times New Roman" w:cs="Times New Roman"/>
          <w:bCs/>
          <w:sz w:val="24"/>
          <w:szCs w:val="24"/>
          <w:lang w:val="en-US" w:eastAsia="en-US"/>
        </w:rPr>
        <w:t>)</w:t>
      </w:r>
      <w:r>
        <w:rPr>
          <w:rFonts w:ascii="Times New Roman" w:eastAsia="Century-Light" w:hAnsi="Times New Roman" w:cs="Times New Roman"/>
          <w:sz w:val="24"/>
          <w:szCs w:val="24"/>
          <w:lang w:val="en-US" w:eastAsia="en-US"/>
        </w:rPr>
        <w:t xml:space="preserve"> (</w:t>
      </w:r>
      <w:r w:rsidR="00060F10">
        <w:rPr>
          <w:rFonts w:ascii="Times New Roman" w:hAnsi="Times New Roman" w:cs="Times New Roman"/>
          <w:b/>
          <w:sz w:val="24"/>
          <w:szCs w:val="24"/>
          <w:lang w:val="en-US"/>
        </w:rPr>
        <w:t>Fig. 19-3)</w:t>
      </w:r>
      <w:r>
        <w:rPr>
          <w:rFonts w:ascii="Times New Roman" w:eastAsia="Century-Light" w:hAnsi="Times New Roman" w:cs="Times New Roman"/>
          <w:sz w:val="24"/>
          <w:szCs w:val="24"/>
          <w:lang w:val="en-US" w:eastAsia="en-US"/>
        </w:rPr>
        <w:t xml:space="preserve"> </w:t>
      </w:r>
      <w:r w:rsidR="00060F10">
        <w:rPr>
          <w:rFonts w:ascii="Times New Roman" w:eastAsia="Century-Light" w:hAnsi="Times New Roman" w:cs="Times New Roman"/>
          <w:sz w:val="24"/>
          <w:szCs w:val="24"/>
          <w:lang w:val="en-US" w:eastAsia="en-US"/>
        </w:rPr>
        <w:t>and</w:t>
      </w:r>
      <w:r w:rsidR="00AD6C77" w:rsidRPr="00AD6C77">
        <w:rPr>
          <w:rFonts w:ascii="Times New Roman" w:eastAsia="Century-Light" w:hAnsi="Times New Roman" w:cs="Times New Roman"/>
          <w:sz w:val="24"/>
          <w:szCs w:val="24"/>
          <w:lang w:val="en-US" w:eastAsia="en-US"/>
        </w:rPr>
        <w:t xml:space="preserve"> </w:t>
      </w:r>
      <w:r w:rsidR="00AD6C77">
        <w:rPr>
          <w:rFonts w:ascii="Times New Roman" w:eastAsia="Century-Light" w:hAnsi="Times New Roman" w:cs="Times New Roman"/>
          <w:sz w:val="24"/>
          <w:szCs w:val="24"/>
          <w:lang w:val="en-US" w:eastAsia="en-US"/>
        </w:rPr>
        <w:t>t</w:t>
      </w:r>
      <w:r w:rsidR="00AD6C77">
        <w:rPr>
          <w:rFonts w:ascii="Times New Roman" w:eastAsia="Century-Light" w:hAnsi="Times New Roman" w:cs="Times New Roman"/>
          <w:sz w:val="24"/>
          <w:szCs w:val="24"/>
          <w:lang w:val="en-US" w:eastAsia="en-US"/>
        </w:rPr>
        <w:t>wo different types of iron-containing proteins (</w:t>
      </w:r>
      <w:r w:rsidR="00AD6C77" w:rsidRPr="007A1DDA">
        <w:rPr>
          <w:rFonts w:ascii="Times New Roman" w:eastAsia="Century-Light" w:hAnsi="Times New Roman" w:cs="Times New Roman"/>
          <w:b/>
          <w:sz w:val="24"/>
          <w:szCs w:val="24"/>
          <w:lang w:val="en-US" w:eastAsia="en-US"/>
        </w:rPr>
        <w:t>cytochromes</w:t>
      </w:r>
      <w:r w:rsidR="0057177A">
        <w:rPr>
          <w:rFonts w:ascii="Times New Roman" w:eastAsia="Century-Light" w:hAnsi="Times New Roman" w:cs="Times New Roman"/>
          <w:b/>
          <w:sz w:val="24"/>
          <w:szCs w:val="24"/>
          <w:lang w:val="en-US" w:eastAsia="en-US"/>
        </w:rPr>
        <w:t>)</w:t>
      </w:r>
      <w:r w:rsidR="00AD6C77" w:rsidRPr="007A1DDA">
        <w:rPr>
          <w:rFonts w:ascii="Times New Roman" w:eastAsia="Century-Light" w:hAnsi="Times New Roman" w:cs="Times New Roman"/>
          <w:b/>
          <w:sz w:val="24"/>
          <w:szCs w:val="24"/>
          <w:lang w:val="en-US" w:eastAsia="en-US"/>
        </w:rPr>
        <w:t xml:space="preserve"> </w:t>
      </w:r>
      <w:r w:rsidR="0057177A">
        <w:rPr>
          <w:rFonts w:ascii="Times New Roman" w:hAnsi="Times New Roman" w:cs="Times New Roman"/>
          <w:b/>
          <w:sz w:val="24"/>
          <w:szCs w:val="24"/>
          <w:lang w:val="en-US"/>
        </w:rPr>
        <w:t xml:space="preserve">(Fig. 19-4) </w:t>
      </w:r>
      <w:r w:rsidR="00AD6C77" w:rsidRPr="007A1DDA">
        <w:rPr>
          <w:rFonts w:ascii="Times New Roman" w:eastAsia="Century-Light" w:hAnsi="Times New Roman" w:cs="Times New Roman"/>
          <w:sz w:val="24"/>
          <w:szCs w:val="24"/>
          <w:lang w:val="en-US" w:eastAsia="en-US"/>
        </w:rPr>
        <w:t>and</w:t>
      </w:r>
      <w:r w:rsidR="00AD6C77" w:rsidRPr="007A1DDA">
        <w:rPr>
          <w:rFonts w:ascii="Times New Roman" w:eastAsia="Century-Light" w:hAnsi="Times New Roman" w:cs="Times New Roman"/>
          <w:b/>
          <w:sz w:val="24"/>
          <w:szCs w:val="24"/>
          <w:lang w:val="en-US" w:eastAsia="en-US"/>
        </w:rPr>
        <w:t xml:space="preserve"> iron-sulfur proteins</w:t>
      </w:r>
      <w:r w:rsidR="000F74B5">
        <w:rPr>
          <w:rFonts w:ascii="Times New Roman" w:eastAsia="Century-Light" w:hAnsi="Times New Roman" w:cs="Times New Roman"/>
          <w:b/>
          <w:sz w:val="24"/>
          <w:szCs w:val="24"/>
          <w:lang w:val="en-US" w:eastAsia="en-US"/>
        </w:rPr>
        <w:t xml:space="preserve">) </w:t>
      </w:r>
      <w:r w:rsidR="000F74B5">
        <w:rPr>
          <w:rFonts w:ascii="Times New Roman" w:hAnsi="Times New Roman" w:cs="Times New Roman"/>
          <w:b/>
          <w:sz w:val="24"/>
          <w:szCs w:val="24"/>
          <w:lang w:val="en-US"/>
        </w:rPr>
        <w:t>(Fig. 19-5)</w:t>
      </w:r>
      <w:r w:rsidR="00AD6C77">
        <w:rPr>
          <w:rFonts w:ascii="Times New Roman" w:eastAsia="Century-Light" w:hAnsi="Times New Roman" w:cs="Times New Roman"/>
          <w:sz w:val="24"/>
          <w:szCs w:val="24"/>
          <w:lang w:val="en-US" w:eastAsia="en-US"/>
        </w:rPr>
        <w:t>.</w:t>
      </w:r>
    </w:p>
    <w:p w:rsidR="00C91E5A" w:rsidRPr="0006216B" w:rsidRDefault="00060F10" w:rsidP="0006216B">
      <w:pPr>
        <w:autoSpaceDE w:val="0"/>
        <w:autoSpaceDN w:val="0"/>
        <w:adjustRightInd w:val="0"/>
        <w:spacing w:after="0" w:line="36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noProof/>
          <w:sz w:val="24"/>
          <w:szCs w:val="24"/>
        </w:rPr>
        <w:drawing>
          <wp:inline distT="0" distB="0" distL="0" distR="0" wp14:anchorId="7545FBF2" wp14:editId="18DF5E24">
            <wp:extent cx="3609975" cy="46482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4648200"/>
                    </a:xfrm>
                    <a:prstGeom prst="rect">
                      <a:avLst/>
                    </a:prstGeom>
                    <a:noFill/>
                    <a:ln>
                      <a:noFill/>
                    </a:ln>
                  </pic:spPr>
                </pic:pic>
              </a:graphicData>
            </a:graphic>
          </wp:inline>
        </w:drawing>
      </w:r>
      <w:r>
        <w:rPr>
          <w:rFonts w:ascii="Times New Roman" w:eastAsiaTheme="minorHAnsi" w:hAnsi="Times New Roman" w:cs="Times New Roman"/>
          <w:b/>
          <w:bCs/>
          <w:noProof/>
          <w:sz w:val="24"/>
          <w:szCs w:val="24"/>
        </w:rPr>
        <w:drawing>
          <wp:inline distT="0" distB="0" distL="0" distR="0" wp14:anchorId="4C2B3BDB" wp14:editId="31A423EA">
            <wp:extent cx="5762625" cy="6477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7005B7" w:rsidRPr="004D3C5C" w:rsidRDefault="00C91E5A" w:rsidP="00C91E5A">
      <w:pPr>
        <w:pStyle w:val="ListeParagraf"/>
        <w:numPr>
          <w:ilvl w:val="0"/>
          <w:numId w:val="4"/>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sidRPr="00B60DF3">
        <w:rPr>
          <w:rFonts w:ascii="Times New Roman" w:eastAsia="Century-Light" w:hAnsi="Times New Roman" w:cs="Times New Roman"/>
          <w:bCs/>
          <w:sz w:val="24"/>
          <w:szCs w:val="24"/>
          <w:lang w:val="en-US" w:eastAsia="en-US"/>
        </w:rPr>
        <w:lastRenderedPageBreak/>
        <w:t>Cytochromes</w:t>
      </w:r>
      <w:r>
        <w:rPr>
          <w:rFonts w:ascii="Times New Roman" w:eastAsia="Century-Light" w:hAnsi="Times New Roman" w:cs="Times New Roman"/>
          <w:b/>
          <w:bCs/>
          <w:sz w:val="24"/>
          <w:szCs w:val="24"/>
          <w:lang w:val="en-US" w:eastAsia="en-US"/>
        </w:rPr>
        <w:t xml:space="preserve"> </w:t>
      </w:r>
      <w:r>
        <w:rPr>
          <w:rFonts w:ascii="Times New Roman" w:eastAsia="Century-Light" w:hAnsi="Times New Roman" w:cs="Times New Roman"/>
          <w:sz w:val="24"/>
          <w:szCs w:val="24"/>
          <w:lang w:val="en-US" w:eastAsia="en-US"/>
        </w:rPr>
        <w:t>have iron-co</w:t>
      </w:r>
      <w:r w:rsidR="00771972">
        <w:rPr>
          <w:rFonts w:ascii="Times New Roman" w:eastAsia="Century-Light" w:hAnsi="Times New Roman" w:cs="Times New Roman"/>
          <w:sz w:val="24"/>
          <w:szCs w:val="24"/>
          <w:lang w:val="en-US" w:eastAsia="en-US"/>
        </w:rPr>
        <w:t xml:space="preserve">ntaining </w:t>
      </w:r>
      <w:proofErr w:type="spellStart"/>
      <w:r w:rsidR="00771972">
        <w:rPr>
          <w:rFonts w:ascii="Times New Roman" w:eastAsia="Century-Light" w:hAnsi="Times New Roman" w:cs="Times New Roman"/>
          <w:sz w:val="24"/>
          <w:szCs w:val="24"/>
          <w:lang w:val="en-US" w:eastAsia="en-US"/>
        </w:rPr>
        <w:t>heme</w:t>
      </w:r>
      <w:proofErr w:type="spellEnd"/>
      <w:r w:rsidR="00771972">
        <w:rPr>
          <w:rFonts w:ascii="Times New Roman" w:eastAsia="Century-Light" w:hAnsi="Times New Roman" w:cs="Times New Roman"/>
          <w:sz w:val="24"/>
          <w:szCs w:val="24"/>
          <w:lang w:val="en-US" w:eastAsia="en-US"/>
        </w:rPr>
        <w:t xml:space="preserve"> prosthetic groups</w:t>
      </w:r>
      <w:r w:rsidR="00771972">
        <w:rPr>
          <w:rFonts w:ascii="Times New Roman" w:hAnsi="Times New Roman" w:cs="Times New Roman"/>
          <w:b/>
          <w:sz w:val="24"/>
          <w:szCs w:val="24"/>
          <w:lang w:val="en-US"/>
        </w:rPr>
        <w:t xml:space="preserve"> (Fig. 19-4</w:t>
      </w:r>
      <w:r w:rsidR="004D3C5C">
        <w:rPr>
          <w:rFonts w:ascii="Times New Roman" w:hAnsi="Times New Roman" w:cs="Times New Roman"/>
          <w:b/>
          <w:sz w:val="24"/>
          <w:szCs w:val="24"/>
          <w:lang w:val="en-US"/>
        </w:rPr>
        <w:t>a</w:t>
      </w:r>
      <w:r w:rsidR="00771972">
        <w:rPr>
          <w:rFonts w:ascii="Times New Roman" w:hAnsi="Times New Roman" w:cs="Times New Roman"/>
          <w:b/>
          <w:sz w:val="24"/>
          <w:szCs w:val="24"/>
          <w:lang w:val="en-US"/>
        </w:rPr>
        <w:t>).</w:t>
      </w:r>
    </w:p>
    <w:p w:rsidR="004D3C5C" w:rsidRPr="00ED497F"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ED497F" w:rsidRPr="007005B7" w:rsidRDefault="00ED497F" w:rsidP="00ED497F">
      <w:pPr>
        <w:pStyle w:val="ListeParagraf"/>
        <w:autoSpaceDE w:val="0"/>
        <w:autoSpaceDN w:val="0"/>
        <w:adjustRightInd w:val="0"/>
        <w:spacing w:after="0" w:line="360" w:lineRule="auto"/>
        <w:ind w:left="0"/>
        <w:jc w:val="center"/>
        <w:rPr>
          <w:rFonts w:ascii="Times New Roman" w:eastAsia="Century-Light" w:hAnsi="Times New Roman" w:cs="Times New Roman"/>
          <w:sz w:val="24"/>
          <w:szCs w:val="24"/>
          <w:lang w:val="en-US" w:eastAsia="en-US"/>
        </w:rPr>
      </w:pPr>
      <w:r>
        <w:rPr>
          <w:rFonts w:ascii="Times New Roman" w:eastAsia="Century-Light" w:hAnsi="Times New Roman" w:cs="Times New Roman"/>
          <w:noProof/>
          <w:sz w:val="24"/>
          <w:szCs w:val="24"/>
        </w:rPr>
        <w:drawing>
          <wp:inline distT="0" distB="0" distL="0" distR="0">
            <wp:extent cx="5753100" cy="2400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400300"/>
                    </a:xfrm>
                    <a:prstGeom prst="rect">
                      <a:avLst/>
                    </a:prstGeom>
                    <a:noFill/>
                    <a:ln>
                      <a:noFill/>
                    </a:ln>
                  </pic:spPr>
                </pic:pic>
              </a:graphicData>
            </a:graphic>
          </wp:inline>
        </w:drawing>
      </w:r>
    </w:p>
    <w:p w:rsidR="00C91E5A" w:rsidRDefault="007005B7" w:rsidP="007005B7">
      <w:pPr>
        <w:pStyle w:val="ListeParagraf"/>
        <w:autoSpaceDE w:val="0"/>
        <w:autoSpaceDN w:val="0"/>
        <w:adjustRightInd w:val="0"/>
        <w:spacing w:after="0" w:line="360" w:lineRule="auto"/>
        <w:ind w:left="0"/>
        <w:jc w:val="center"/>
        <w:rPr>
          <w:rFonts w:ascii="Times New Roman" w:eastAsia="Century-Light" w:hAnsi="Times New Roman" w:cs="Times New Roman"/>
          <w:sz w:val="24"/>
          <w:szCs w:val="24"/>
          <w:lang w:val="en-US" w:eastAsia="en-US"/>
        </w:rPr>
      </w:pPr>
      <w:r>
        <w:rPr>
          <w:rFonts w:ascii="Times New Roman" w:eastAsia="Century-Light" w:hAnsi="Times New Roman" w:cs="Times New Roman"/>
          <w:noProof/>
          <w:sz w:val="24"/>
          <w:szCs w:val="24"/>
        </w:rPr>
        <w:drawing>
          <wp:inline distT="0" distB="0" distL="0" distR="0">
            <wp:extent cx="4552950" cy="22193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219325"/>
                    </a:xfrm>
                    <a:prstGeom prst="rect">
                      <a:avLst/>
                    </a:prstGeom>
                    <a:noFill/>
                    <a:ln>
                      <a:noFill/>
                    </a:ln>
                  </pic:spPr>
                </pic:pic>
              </a:graphicData>
            </a:graphic>
          </wp:inline>
        </w:drawing>
      </w:r>
      <w:r w:rsidR="00DF6971">
        <w:rPr>
          <w:rFonts w:ascii="Times New Roman" w:eastAsia="Century-Light" w:hAnsi="Times New Roman" w:cs="Times New Roman"/>
          <w:noProof/>
          <w:sz w:val="24"/>
          <w:szCs w:val="24"/>
        </w:rPr>
        <w:drawing>
          <wp:inline distT="0" distB="0" distL="0" distR="0">
            <wp:extent cx="5753100" cy="9429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942975"/>
                    </a:xfrm>
                    <a:prstGeom prst="rect">
                      <a:avLst/>
                    </a:prstGeom>
                    <a:noFill/>
                    <a:ln>
                      <a:noFill/>
                    </a:ln>
                  </pic:spPr>
                </pic:pic>
              </a:graphicData>
            </a:graphic>
          </wp:inline>
        </w:drawing>
      </w: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4D3C5C"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p>
    <w:p w:rsidR="00C91E5A" w:rsidRPr="004D3C5C" w:rsidRDefault="00C91E5A" w:rsidP="00C91E5A">
      <w:pPr>
        <w:pStyle w:val="ListeParagraf"/>
        <w:numPr>
          <w:ilvl w:val="0"/>
          <w:numId w:val="4"/>
        </w:numPr>
        <w:autoSpaceDE w:val="0"/>
        <w:autoSpaceDN w:val="0"/>
        <w:adjustRightInd w:val="0"/>
        <w:spacing w:after="0" w:line="360" w:lineRule="auto"/>
        <w:ind w:left="426" w:hanging="426"/>
        <w:jc w:val="both"/>
        <w:rPr>
          <w:rFonts w:ascii="Times New Roman" w:eastAsia="Century-Light" w:hAnsi="Times New Roman" w:cs="Times New Roman"/>
          <w:sz w:val="24"/>
          <w:szCs w:val="24"/>
          <w:lang w:val="en-US" w:eastAsia="en-US"/>
        </w:rPr>
      </w:pPr>
      <w:r>
        <w:rPr>
          <w:rFonts w:ascii="Times New Roman" w:eastAsia="Century-Light" w:hAnsi="Times New Roman" w:cs="Times New Roman"/>
          <w:sz w:val="24"/>
          <w:szCs w:val="24"/>
          <w:lang w:val="en-US" w:eastAsia="en-US"/>
        </w:rPr>
        <w:lastRenderedPageBreak/>
        <w:t xml:space="preserve">In </w:t>
      </w:r>
      <w:r w:rsidRPr="00565BF1">
        <w:rPr>
          <w:rFonts w:ascii="Times New Roman" w:eastAsia="Century-Light" w:hAnsi="Times New Roman" w:cs="Times New Roman"/>
          <w:bCs/>
          <w:sz w:val="24"/>
          <w:szCs w:val="24"/>
          <w:lang w:val="en-US" w:eastAsia="en-US"/>
        </w:rPr>
        <w:t>iron-sulfur proteins</w:t>
      </w:r>
      <w:r>
        <w:rPr>
          <w:rFonts w:ascii="Times New Roman" w:eastAsia="Century-Light" w:hAnsi="Times New Roman" w:cs="Times New Roman"/>
          <w:sz w:val="24"/>
          <w:szCs w:val="24"/>
          <w:lang w:val="en-US" w:eastAsia="en-US"/>
        </w:rPr>
        <w:t xml:space="preserve">, the iron is present not in </w:t>
      </w:r>
      <w:proofErr w:type="spellStart"/>
      <w:r>
        <w:rPr>
          <w:rFonts w:ascii="Times New Roman" w:eastAsia="Century-Light" w:hAnsi="Times New Roman" w:cs="Times New Roman"/>
          <w:sz w:val="24"/>
          <w:szCs w:val="24"/>
          <w:lang w:val="en-US" w:eastAsia="en-US"/>
        </w:rPr>
        <w:t>heme</w:t>
      </w:r>
      <w:proofErr w:type="spellEnd"/>
      <w:r>
        <w:rPr>
          <w:rFonts w:ascii="Times New Roman" w:eastAsia="Century-Light" w:hAnsi="Times New Roman" w:cs="Times New Roman"/>
          <w:sz w:val="24"/>
          <w:szCs w:val="24"/>
          <w:lang w:val="en-US" w:eastAsia="en-US"/>
        </w:rPr>
        <w:t xml:space="preserve"> but in association with inorganic sulfur atoms or with the sulfur atoms of </w:t>
      </w:r>
      <w:proofErr w:type="spellStart"/>
      <w:r>
        <w:rPr>
          <w:rFonts w:ascii="Times New Roman" w:eastAsia="Century-Light" w:hAnsi="Times New Roman" w:cs="Times New Roman"/>
          <w:sz w:val="24"/>
          <w:szCs w:val="24"/>
          <w:lang w:val="en-US" w:eastAsia="en-US"/>
        </w:rPr>
        <w:t>Cys</w:t>
      </w:r>
      <w:proofErr w:type="spellEnd"/>
      <w:r>
        <w:rPr>
          <w:rFonts w:ascii="Times New Roman" w:eastAsia="Century-Light" w:hAnsi="Times New Roman" w:cs="Times New Roman"/>
          <w:sz w:val="24"/>
          <w:szCs w:val="24"/>
          <w:lang w:val="en-US" w:eastAsia="en-US"/>
        </w:rPr>
        <w:t xml:space="preserve"> residues in the protein, or both</w:t>
      </w:r>
      <w:r w:rsidR="00803E31">
        <w:rPr>
          <w:rFonts w:ascii="Times New Roman" w:hAnsi="Times New Roman" w:cs="Times New Roman"/>
          <w:b/>
          <w:sz w:val="24"/>
          <w:szCs w:val="24"/>
          <w:lang w:val="en-US"/>
        </w:rPr>
        <w:t xml:space="preserve"> (Fig. 19-5)</w:t>
      </w:r>
      <w:r>
        <w:rPr>
          <w:rFonts w:ascii="Times New Roman" w:hAnsi="Times New Roman" w:cs="Times New Roman"/>
          <w:sz w:val="24"/>
          <w:szCs w:val="24"/>
          <w:lang w:val="en-US"/>
        </w:rPr>
        <w:t>.</w:t>
      </w:r>
    </w:p>
    <w:p w:rsidR="004D3C5C" w:rsidRPr="0074674D" w:rsidRDefault="004D3C5C" w:rsidP="004D3C5C">
      <w:pPr>
        <w:pStyle w:val="ListeParagraf"/>
        <w:autoSpaceDE w:val="0"/>
        <w:autoSpaceDN w:val="0"/>
        <w:adjustRightInd w:val="0"/>
        <w:spacing w:after="0" w:line="360" w:lineRule="auto"/>
        <w:ind w:left="426"/>
        <w:jc w:val="both"/>
        <w:rPr>
          <w:rFonts w:ascii="Times New Roman" w:eastAsia="Century-Light" w:hAnsi="Times New Roman" w:cs="Times New Roman"/>
          <w:sz w:val="24"/>
          <w:szCs w:val="24"/>
          <w:lang w:val="en-US" w:eastAsia="en-US"/>
        </w:rPr>
      </w:pPr>
      <w:bookmarkStart w:id="0" w:name="_GoBack"/>
      <w:bookmarkEnd w:id="0"/>
    </w:p>
    <w:p w:rsidR="0074674D" w:rsidRDefault="0074674D" w:rsidP="0074674D">
      <w:pPr>
        <w:pStyle w:val="ListeParagraf"/>
        <w:autoSpaceDE w:val="0"/>
        <w:autoSpaceDN w:val="0"/>
        <w:adjustRightInd w:val="0"/>
        <w:spacing w:after="0" w:line="360" w:lineRule="auto"/>
        <w:ind w:left="0"/>
        <w:jc w:val="center"/>
        <w:rPr>
          <w:rFonts w:ascii="Times New Roman" w:eastAsia="Century-Light" w:hAnsi="Times New Roman" w:cs="Times New Roman"/>
          <w:sz w:val="24"/>
          <w:szCs w:val="24"/>
          <w:lang w:val="en-US" w:eastAsia="en-US"/>
        </w:rPr>
      </w:pPr>
      <w:r>
        <w:rPr>
          <w:rFonts w:ascii="Times New Roman" w:eastAsia="Century-Light" w:hAnsi="Times New Roman" w:cs="Times New Roman"/>
          <w:noProof/>
          <w:sz w:val="24"/>
          <w:szCs w:val="24"/>
        </w:rPr>
        <w:drawing>
          <wp:inline distT="0" distB="0" distL="0" distR="0">
            <wp:extent cx="5762625" cy="15621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562100"/>
                    </a:xfrm>
                    <a:prstGeom prst="rect">
                      <a:avLst/>
                    </a:prstGeom>
                    <a:noFill/>
                    <a:ln>
                      <a:noFill/>
                    </a:ln>
                  </pic:spPr>
                </pic:pic>
              </a:graphicData>
            </a:graphic>
          </wp:inline>
        </w:drawing>
      </w:r>
      <w:r>
        <w:rPr>
          <w:rFonts w:ascii="Times New Roman" w:eastAsia="Century-Light" w:hAnsi="Times New Roman" w:cs="Times New Roman"/>
          <w:noProof/>
          <w:sz w:val="24"/>
          <w:szCs w:val="24"/>
        </w:rPr>
        <w:drawing>
          <wp:inline distT="0" distB="0" distL="0" distR="0">
            <wp:extent cx="5753100" cy="11144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114425"/>
                    </a:xfrm>
                    <a:prstGeom prst="rect">
                      <a:avLst/>
                    </a:prstGeom>
                    <a:noFill/>
                    <a:ln>
                      <a:noFill/>
                    </a:ln>
                  </pic:spPr>
                </pic:pic>
              </a:graphicData>
            </a:graphic>
          </wp:inline>
        </w:drawing>
      </w:r>
    </w:p>
    <w:p w:rsidR="00C91E5A" w:rsidRDefault="00C91E5A" w:rsidP="00C91E5A">
      <w:pPr>
        <w:autoSpaceDE w:val="0"/>
        <w:autoSpaceDN w:val="0"/>
        <w:adjustRightInd w:val="0"/>
        <w:spacing w:after="0" w:line="240" w:lineRule="auto"/>
        <w:jc w:val="both"/>
        <w:rPr>
          <w:rFonts w:ascii="Times New Roman" w:eastAsia="Century-Light" w:hAnsi="Times New Roman" w:cs="Times New Roman"/>
          <w:sz w:val="24"/>
          <w:szCs w:val="24"/>
          <w:lang w:val="en-US" w:eastAsia="en-US"/>
        </w:rPr>
      </w:pPr>
    </w:p>
    <w:p w:rsidR="00C91E5A" w:rsidRDefault="00C91E5A" w:rsidP="00C91E5A">
      <w:pPr>
        <w:pStyle w:val="ListeParagraf"/>
        <w:autoSpaceDE w:val="0"/>
        <w:autoSpaceDN w:val="0"/>
        <w:adjustRightInd w:val="0"/>
        <w:spacing w:after="0" w:line="360" w:lineRule="auto"/>
        <w:ind w:left="0"/>
        <w:jc w:val="center"/>
        <w:rPr>
          <w:rFonts w:ascii="Times New Roman" w:eastAsiaTheme="minorHAnsi" w:hAnsi="Times New Roman" w:cs="Times New Roman"/>
          <w:sz w:val="24"/>
          <w:szCs w:val="24"/>
          <w:lang w:val="en-US" w:eastAsia="en-US"/>
        </w:rPr>
      </w:pPr>
    </w:p>
    <w:p w:rsidR="00C91E5A" w:rsidRDefault="00C91E5A" w:rsidP="00C91E5A">
      <w:pPr>
        <w:pStyle w:val="ListeParagraf"/>
        <w:autoSpaceDE w:val="0"/>
        <w:autoSpaceDN w:val="0"/>
        <w:adjustRightInd w:val="0"/>
        <w:spacing w:after="0" w:line="360" w:lineRule="auto"/>
        <w:ind w:left="0"/>
        <w:jc w:val="center"/>
        <w:rPr>
          <w:rFonts w:ascii="Times New Roman" w:eastAsiaTheme="minorHAnsi" w:hAnsi="Times New Roman" w:cs="Times New Roman"/>
          <w:sz w:val="24"/>
          <w:szCs w:val="24"/>
          <w:lang w:val="en-US" w:eastAsia="en-US"/>
        </w:rPr>
      </w:pPr>
    </w:p>
    <w:p w:rsidR="000E5FE7" w:rsidRDefault="000E5FE7"/>
    <w:sectPr w:rsidR="000E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Light">
    <w:altName w:val="MS Mincho"/>
    <w:panose1 w:val="00000000000000000000"/>
    <w:charset w:val="80"/>
    <w:family w:val="auto"/>
    <w:notTrueType/>
    <w:pitch w:val="default"/>
    <w:sig w:usb0="00000001" w:usb1="08070000" w:usb2="00000010" w:usb3="00000000" w:csb0="00020000" w:csb1="00000000"/>
  </w:font>
  <w:font w:name="Century-Light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3B6"/>
    <w:multiLevelType w:val="hybridMultilevel"/>
    <w:tmpl w:val="566E1E8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8C877B6"/>
    <w:multiLevelType w:val="hybridMultilevel"/>
    <w:tmpl w:val="89D0866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530366FE"/>
    <w:multiLevelType w:val="hybridMultilevel"/>
    <w:tmpl w:val="ED3E1E8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5FD248A1"/>
    <w:multiLevelType w:val="hybridMultilevel"/>
    <w:tmpl w:val="F3AC9EF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60C81E04"/>
    <w:multiLevelType w:val="hybridMultilevel"/>
    <w:tmpl w:val="49EEB3B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5A"/>
    <w:rsid w:val="00060F10"/>
    <w:rsid w:val="0006216B"/>
    <w:rsid w:val="000E5FE7"/>
    <w:rsid w:val="000F74B5"/>
    <w:rsid w:val="001252E9"/>
    <w:rsid w:val="00177D3A"/>
    <w:rsid w:val="002B6F35"/>
    <w:rsid w:val="004B5DF3"/>
    <w:rsid w:val="004D3C5C"/>
    <w:rsid w:val="00565BF1"/>
    <w:rsid w:val="0057177A"/>
    <w:rsid w:val="007005B7"/>
    <w:rsid w:val="007174BF"/>
    <w:rsid w:val="0074674D"/>
    <w:rsid w:val="00771972"/>
    <w:rsid w:val="007A1DDA"/>
    <w:rsid w:val="00803E31"/>
    <w:rsid w:val="00AD6C77"/>
    <w:rsid w:val="00B60DF3"/>
    <w:rsid w:val="00C91E5A"/>
    <w:rsid w:val="00DF6971"/>
    <w:rsid w:val="00ED497F"/>
    <w:rsid w:val="00EE6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5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1E5A"/>
    <w:pPr>
      <w:ind w:left="720"/>
      <w:contextualSpacing/>
    </w:pPr>
  </w:style>
  <w:style w:type="paragraph" w:styleId="BalonMetni">
    <w:name w:val="Balloon Text"/>
    <w:basedOn w:val="Normal"/>
    <w:link w:val="BalonMetniChar"/>
    <w:uiPriority w:val="99"/>
    <w:semiHidden/>
    <w:unhideWhenUsed/>
    <w:rsid w:val="00177D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D3A"/>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5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1E5A"/>
    <w:pPr>
      <w:ind w:left="720"/>
      <w:contextualSpacing/>
    </w:pPr>
  </w:style>
  <w:style w:type="paragraph" w:styleId="BalonMetni">
    <w:name w:val="Balloon Text"/>
    <w:basedOn w:val="Normal"/>
    <w:link w:val="BalonMetniChar"/>
    <w:uiPriority w:val="99"/>
    <w:semiHidden/>
    <w:unhideWhenUsed/>
    <w:rsid w:val="00177D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D3A"/>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YTU-PC</dc:creator>
  <cp:lastModifiedBy>YTU-PC</cp:lastModifiedBy>
  <cp:revision>24</cp:revision>
  <dcterms:created xsi:type="dcterms:W3CDTF">2020-05-04T12:35:00Z</dcterms:created>
  <dcterms:modified xsi:type="dcterms:W3CDTF">2020-05-04T13:21:00Z</dcterms:modified>
</cp:coreProperties>
</file>