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F" w:rsidRDefault="006350FF" w:rsidP="006350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The Energy of Electron Transfer Is Efficiently Conserved in a Proton Gradient</w:t>
      </w:r>
    </w:p>
    <w:p w:rsidR="006350FF" w:rsidRDefault="006350FF" w:rsidP="006350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transfer of two electrons from NADH through the respiratory chain to molecular oxygen can be written as </w:t>
      </w:r>
    </w:p>
    <w:p w:rsidR="006350FF" w:rsidRDefault="006350FF" w:rsidP="006350FF">
      <w:pPr>
        <w:pStyle w:val="ListeParagra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97790</wp:posOffset>
                </wp:positionV>
                <wp:extent cx="600075" cy="9525"/>
                <wp:effectExtent l="5080" t="50165" r="23495" b="5461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34.4pt;margin-top:7.7pt;width:47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NADH + H</w:t>
      </w:r>
      <w:r>
        <w:rPr>
          <w:rFonts w:ascii="Times New Roman" w:eastAsia="Century-Light" w:hAnsi="Times New Roman" w:cs="Times New Roman"/>
          <w:sz w:val="24"/>
          <w:szCs w:val="24"/>
          <w:vertAlign w:val="superscript"/>
          <w:lang w:val="en-US" w:eastAsia="en-US"/>
        </w:rPr>
        <w:t>+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+ ½ O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                          NAD</w:t>
      </w:r>
      <w:r>
        <w:rPr>
          <w:rFonts w:ascii="Times New Roman" w:eastAsia="Century-Light" w:hAnsi="Times New Roman" w:cs="Times New Roman"/>
          <w:sz w:val="24"/>
          <w:szCs w:val="24"/>
          <w:vertAlign w:val="superscript"/>
          <w:lang w:val="en-US" w:eastAsia="en-US"/>
        </w:rPr>
        <w:t>+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+ H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O</w:t>
      </w:r>
    </w:p>
    <w:p w:rsidR="006350FF" w:rsidRDefault="006350FF" w:rsidP="006350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This net reaction is highly exergonic.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- 220 kJ/mol</w:t>
      </w:r>
    </w:p>
    <w:p w:rsidR="006350FF" w:rsidRDefault="006350FF" w:rsidP="006350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Much of this energy is used to pump protons out</w:t>
      </w:r>
      <w:r w:rsidR="00057C99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of the matrix</w:t>
      </w:r>
      <w:bookmarkStart w:id="0" w:name="_GoBack"/>
      <w:bookmarkEnd w:id="0"/>
      <w:r>
        <w:rPr>
          <w:lang w:val="en-US"/>
        </w:rPr>
        <w:t xml:space="preserve"> </w:t>
      </w:r>
      <w:r w:rsidR="00163068"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(Fig. 19-16)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C650C9" w:rsidRDefault="00C650C9" w:rsidP="00C650C9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163068" w:rsidRDefault="00163068" w:rsidP="00163068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C650C9" w:rsidRDefault="00163068" w:rsidP="00163068">
      <w:pPr>
        <w:pStyle w:val="ListeParagraf"/>
        <w:autoSpaceDE w:val="0"/>
        <w:autoSpaceDN w:val="0"/>
        <w:adjustRightInd w:val="0"/>
        <w:spacing w:after="0" w:line="360" w:lineRule="auto"/>
        <w:ind w:left="-426" w:right="-567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6391275" cy="2971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C9" w:rsidRDefault="00C650C9" w:rsidP="00163068">
      <w:pPr>
        <w:pStyle w:val="ListeParagraf"/>
        <w:autoSpaceDE w:val="0"/>
        <w:autoSpaceDN w:val="0"/>
        <w:adjustRightInd w:val="0"/>
        <w:spacing w:after="0" w:line="360" w:lineRule="auto"/>
        <w:ind w:left="-426" w:right="-567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163068" w:rsidRDefault="00B46ED8" w:rsidP="00163068">
      <w:pPr>
        <w:pStyle w:val="ListeParagraf"/>
        <w:autoSpaceDE w:val="0"/>
        <w:autoSpaceDN w:val="0"/>
        <w:adjustRightInd w:val="0"/>
        <w:spacing w:after="0" w:line="360" w:lineRule="auto"/>
        <w:ind w:left="-426" w:right="-567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53100" cy="1752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2B" w:rsidRDefault="00D10E2B" w:rsidP="00D10E2B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350FF" w:rsidRDefault="006350FF" w:rsidP="006350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energy of electron transfer is efficiently conserved in a proton gradient.</w:t>
      </w:r>
    </w:p>
    <w:p w:rsidR="006350FF" w:rsidRDefault="006350FF" w:rsidP="006350F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energy stored in such a gradient, called the </w:t>
      </w:r>
      <w:r>
        <w:rPr>
          <w:rFonts w:ascii="Times New Roman" w:eastAsia="Century-Light" w:hAnsi="Times New Roman" w:cs="Times New Roman"/>
          <w:b/>
          <w:bCs/>
          <w:sz w:val="24"/>
          <w:szCs w:val="24"/>
          <w:lang w:val="en-US" w:eastAsia="en-US"/>
        </w:rPr>
        <w:t>proton-motive force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6350FF" w:rsidRDefault="006350FF" w:rsidP="006350F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In mitochondria, the electrochemical energy in the proton gradient drives the synthesis of ATP from ADP and Pi.</w:t>
      </w:r>
    </w:p>
    <w:p w:rsidR="00C650C9" w:rsidRDefault="00C650C9" w:rsidP="00C650C9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6350FF" w:rsidRDefault="006350FF" w:rsidP="006350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lastRenderedPageBreak/>
        <w:t>Reactive Oxygen Species Are Generated during Oxidative Phosphorylation</w:t>
      </w:r>
    </w:p>
    <w:p w:rsidR="006350FF" w:rsidRDefault="006350FF" w:rsidP="006350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Several steps in the path of oxygen reduction in mitochondria have the potential to produce highly reactive free radicals that can damage cells.</w:t>
      </w:r>
    </w:p>
    <w:p w:rsidR="00C40722" w:rsidRDefault="00C40722" w:rsidP="00C40722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3F0339"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5F4F5F12" wp14:editId="02FF0F4F">
            <wp:extent cx="1828800" cy="266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B5" w:rsidRPr="003F0339" w:rsidRDefault="006350FF" w:rsidP="003F033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superoxide free radical thus generated is highly reactive; its formation also leads to production of the even more </w:t>
      </w:r>
      <w:r w:rsidR="005537B5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reactive hydroxyl free radical,</w:t>
      </w:r>
      <w:r w:rsidR="003F0339"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64FAF7CC" wp14:editId="0B012E12">
            <wp:extent cx="457200" cy="1905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39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3D5968" w:rsidRPr="009E2A3A" w:rsidRDefault="006350FF" w:rsidP="003D596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To prevent oxidative damage by</w:t>
      </w:r>
      <w:r>
        <w:rPr>
          <w:lang w:val="en-US"/>
        </w:rPr>
        <w:t xml:space="preserve"> 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superoxide free radical, cells have </w:t>
      </w:r>
      <w:r w:rsidRPr="00854F8D"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superoxide dismutase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, which catalyzes the reaction </w:t>
      </w:r>
      <w:r w:rsidR="003D5968"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(Fig. 19-18)</w:t>
      </w:r>
      <w:r w:rsidR="00925B1C"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.</w:t>
      </w:r>
    </w:p>
    <w:p w:rsidR="009E2A3A" w:rsidRDefault="009E2A3A" w:rsidP="009E2A3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5DDC3429" wp14:editId="63C9F71D">
            <wp:extent cx="2933700" cy="2857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A5" w:rsidRPr="009528A5" w:rsidRDefault="009528A5" w:rsidP="009528A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hydrogen peroxide is rendered harmless by the action of </w:t>
      </w:r>
      <w:r>
        <w:rPr>
          <w:rFonts w:ascii="Times New Roman" w:eastAsia="Century-Light" w:hAnsi="Times New Roman" w:cs="Times New Roman"/>
          <w:b/>
          <w:bCs/>
          <w:sz w:val="24"/>
          <w:szCs w:val="24"/>
          <w:lang w:val="en-US" w:eastAsia="en-US"/>
        </w:rPr>
        <w:t xml:space="preserve">glutathione peroxidase </w:t>
      </w: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(Fig. 19-18).</w:t>
      </w:r>
    </w:p>
    <w:p w:rsidR="003D5968" w:rsidRDefault="003D5968" w:rsidP="003D5968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43A499C1" wp14:editId="1CAB6020">
            <wp:extent cx="5762625" cy="35528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68" w:rsidRPr="003D5968" w:rsidRDefault="003D5968" w:rsidP="003D5968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7BB1881A" wp14:editId="64BF3538">
            <wp:extent cx="3514725" cy="16954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68" w:rsidRDefault="00194150" w:rsidP="003D5968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2625" cy="19050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53100" cy="8667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5EB"/>
    <w:multiLevelType w:val="hybridMultilevel"/>
    <w:tmpl w:val="57ACE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3B6"/>
    <w:multiLevelType w:val="hybridMultilevel"/>
    <w:tmpl w:val="566E1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2F41"/>
    <w:multiLevelType w:val="hybridMultilevel"/>
    <w:tmpl w:val="E4F64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51E25"/>
    <w:multiLevelType w:val="hybridMultilevel"/>
    <w:tmpl w:val="B2E8E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057C99"/>
    <w:rsid w:val="00163068"/>
    <w:rsid w:val="00194150"/>
    <w:rsid w:val="002B39B0"/>
    <w:rsid w:val="003D5968"/>
    <w:rsid w:val="003F0339"/>
    <w:rsid w:val="005537B5"/>
    <w:rsid w:val="006350FF"/>
    <w:rsid w:val="00673893"/>
    <w:rsid w:val="00854F8D"/>
    <w:rsid w:val="00925B1C"/>
    <w:rsid w:val="009528A5"/>
    <w:rsid w:val="009E2A3A"/>
    <w:rsid w:val="00AD7C01"/>
    <w:rsid w:val="00B46ED8"/>
    <w:rsid w:val="00C40722"/>
    <w:rsid w:val="00C650C9"/>
    <w:rsid w:val="00C77318"/>
    <w:rsid w:val="00D10E2B"/>
    <w:rsid w:val="00E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0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068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0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068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20</cp:revision>
  <dcterms:created xsi:type="dcterms:W3CDTF">2020-05-10T11:47:00Z</dcterms:created>
  <dcterms:modified xsi:type="dcterms:W3CDTF">2020-05-10T12:25:00Z</dcterms:modified>
</cp:coreProperties>
</file>